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t xml:space="preserve">La preocupación de que la inteligencia artificial pueda "hacer tonta" a las personas, especialmente a empleados en empresas tradicionales, toca un punto importante sobre cómo usamos la tecnología. Según el enfoque del libro sobre inteligencia emocional, el desempeño no depende solo del coeficiente intelectual, sino de cómo regulamos y gestionamos nuestras emociones y capacidades cognitivas. La IA puede automatizar tareas repetitivas y liberar tiempo, pero si las personas no desarrollan su inteligencia emocional y habilidades para adaptarse, podrían volverse dependientes y menos activas en su aprendizaje y toma de decisiones.</w:t>
      </w:r>
    </w:p>
    <w:p>
      <w:pPr>
        <w:spacing w:after="200"/>
      </w:pPr>
      <w:r>
        <w:t xml:space="preserve">Por eso, el verdadero riesgo no está en la IA en sí, sino en no cultivar la regulación emocional, la creatividad y la empatía, que son esenciales para mantener el rendimiento y la relevancia profesional. La neuroplasticidad nos recuerda que podemos seguir desarrollando estas habilidades, incluso en entornos con alta tecnología.</w:t>
      </w:r>
    </w:p>
    <w:p>
      <w:pPr>
        <w:spacing w:after="200"/>
      </w:pPr>
      <w:r>
        <w:t xml:space="preserve">¿Quieres que exploremos cómo los empleados pueden fortalecer su inteligencia emocional para aprovechar mejor la IA sin perder su autonomía y capacidad crítica?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2026-09-08T17:51:28.185Z</dcterms:created>
  <dcterms:modified xsi:type="dcterms:W3CDTF">2026-09-08T17:51:28.185Z</dcterms:modified>
</cp:coreProperties>
</file>

<file path=docProps/custom.xml><?xml version="1.0" encoding="utf-8"?>
<Properties xmlns="http://schemas.openxmlformats.org/officeDocument/2006/custom-properties" xmlns:vt="http://schemas.openxmlformats.org/officeDocument/2006/docPropsVTypes"/>
</file>