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600"/>
      </w:pPr>
    </w:p>
    <w:p>
      <w:pPr>
        <w:spacing w:after="200"/>
        <w:jc w:val="center"/>
      </w:pPr>
      <w:r>
        <w:rPr>
          <w:rFonts w:ascii="Arial" w:cs="Arial" w:eastAsia="Arial" w:hAnsi="Arial"/>
          <w:b/>
          <w:bCs/>
          <w:color w:val="1B3A5C"/>
          <w:sz w:val="44"/>
          <w:szCs w:val="44"/>
        </w:rPr>
        <w:t xml:space="preserve">INVESTIGACIÓN Y ANÁLISIS COMPETITIVO</w:t>
      </w:r>
    </w:p>
    <w:p>
      <w:pPr>
        <w:pBdr>
          <w:bottom w:val="single" w:color="2E75B6" w:sz="6" w:space="1"/>
        </w:pBdr>
        <w:spacing w:after="100"/>
        <w:jc w:val="center"/>
      </w:pPr>
      <w:r>
        <w:rPr>
          <w:rFonts w:ascii="Arial" w:cs="Arial" w:eastAsia="Arial" w:hAnsi="Arial"/>
          <w:color w:val="2E75B6"/>
          <w:sz w:val="26"/>
          <w:szCs w:val="26"/>
        </w:rPr>
        <w:t xml:space="preserve">Integra Salud / Tarjetas TDU vs. Marketplace de Comunidades Colaborativas</w:t>
      </w:r>
    </w:p>
    <w:p>
      <w:pPr>
        <w:spacing w:before="400"/>
        <w:jc w:val="center"/>
      </w:pPr>
      <w:r>
        <w:rPr>
          <w:rFonts w:ascii="Arial" w:cs="Arial" w:eastAsia="Arial" w:hAnsi="Arial"/>
          <w:i/>
          <w:iCs/>
          <w:color w:val="666666"/>
          <w:sz w:val="24"/>
          <w:szCs w:val="24"/>
        </w:rPr>
        <w:t xml:space="preserve">Oportunidad de Marketplace Sindical con Tecnología EmpowerLabs</w:t>
      </w:r>
    </w:p>
    <w:p>
      <w:pPr>
        <w:spacing w:before="200"/>
        <w:jc w:val="center"/>
      </w:pPr>
      <w:r>
        <w:rPr>
          <w:rFonts w:ascii="Arial" w:cs="Arial" w:eastAsia="Arial" w:hAnsi="Arial"/>
          <w:color w:val="888888"/>
          <w:sz w:val="22"/>
          <w:szCs w:val="22"/>
        </w:rPr>
        <w:t xml:space="preserve">100,000 miembros potenciales  ×  200 empresas proveedoras</w:t>
      </w:r>
    </w:p>
    <w:p>
      <w:pPr>
        <w:spacing w:before="600"/>
        <w:jc w:val="center"/>
      </w:pPr>
      <w:r>
        <w:rPr>
          <w:rFonts w:ascii="Arial" w:cs="Arial" w:eastAsia="Arial" w:hAnsi="Arial"/>
          <w:color w:val="666666"/>
          <w:sz w:val="22"/>
          <w:szCs w:val="22"/>
        </w:rPr>
        <w:t xml:space="preserve">Preparado para: Victor Heredia / EmpowerLabs</w:t>
      </w:r>
    </w:p>
    <w:p>
      <w:pPr>
        <w:jc w:val="center"/>
      </w:pPr>
      <w:r>
        <w:rPr>
          <w:rFonts w:ascii="Arial" w:cs="Arial" w:eastAsia="Arial" w:hAnsi="Arial"/>
          <w:color w:val="666666"/>
          <w:sz w:val="22"/>
          <w:szCs w:val="22"/>
        </w:rPr>
        <w:t xml:space="preserve">Mayo 2026  —  Versión 2.0</w:t>
      </w:r>
    </w:p>
    <w:p>
      <w:pPr>
        <w:spacing w:before="200"/>
        <w:jc w:val="center"/>
      </w:pPr>
      <w:r>
        <w:rPr>
          <w:rFonts w:ascii="Arial" w:cs="Arial" w:eastAsia="Arial" w:hAnsi="Arial"/>
          <w:b/>
          <w:bCs/>
          <w:color w:val="CC0000"/>
          <w:sz w:val="20"/>
          <w:szCs w:val="20"/>
        </w:rPr>
        <w:t xml:space="preserve">CONFIDENCIAL</w:t>
      </w:r>
    </w:p>
    <w:p>
      <w:r>
        <w:br w:type="page"/>
      </w:r>
    </w:p>
    <w:p>
      <w:pPr>
        <w:sectPr>
          <w:pgSz w:w="12240" w:h="15840" w:orient="portrait"/>
          <w:pgMar w:top="1440" w:right="1440" w:bottom="1440" w:left="1440" w:header="708" w:footer="708" w:gutter="0"/>
          <w:pgNumType/>
          <w:docGrid w:linePitch="360"/>
        </w:sectPr>
      </w:pPr>
    </w:p>
    <w:p>
      <w:pPr>
        <w:pStyle w:val="Heading1"/>
      </w:pPr>
      <w:r>
        <w:t xml:space="preserve">1. Resumen Ejecutivo</w:t>
      </w:r>
    </w:p>
    <w:p>
      <w:pPr>
        <w:spacing w:after="200"/>
      </w:pPr>
      <w:r>
        <w:t xml:space="preserve">Este documento analiza a </w:t>
      </w:r>
      <w:r>
        <w:rPr>
          <w:b/>
          <w:bCs/>
        </w:rPr>
        <w:t xml:space="preserve">Integra Salud</w:t>
      </w:r>
      <w:r>
        <w:t xml:space="preserve"> (480K+ afiliados, alianza con Seguros Atlas) y su motor de descuentos </w:t>
      </w:r>
      <w:r>
        <w:rPr>
          <w:b/>
          <w:bCs/>
        </w:rPr>
        <w:t xml:space="preserve">Tarjetas TDU</w:t>
      </w:r>
      <w:r>
        <w:t xml:space="preserve"> (25+ años, 10,000+ establecimientos) como referencia competitiva para el desarrollo de un marketplace de comunidades colaborativas operado por sindicatos mexicanos, utilizando la tecnología de EmpowerLabs.</w:t>
      </w:r>
    </w:p>
    <w:p>
      <w:pPr>
        <w:spacing w:after="200"/>
      </w:pPr>
      <w:r>
        <w:rPr>
          <w:b/>
          <w:bCs/>
        </w:rPr>
        <w:t xml:space="preserve">Hallazgo central: </w:t>
      </w:r>
      <w:r>
        <w:t xml:space="preserve">Integra Salud/TDU opera un modelo B2B2C de </w:t>
      </w:r>
      <w:r>
        <w:rPr>
          <w:b/>
          <w:bCs/>
        </w:rPr>
        <w:t xml:space="preserve">descuentos pasivos ("Show &amp; Save")</w:t>
      </w:r>
      <w:r>
        <w:t xml:space="preserve"> donde el comercio absorbe el 100% del costo del descuento a cambio de tráfico no calificado. No hay transaccionalidad, no hay CRM, no hay analítica de consumo, no hay descuentos dinámicos, y no hay inteligencia que conecte oferta con demanda. Es un directorio estático con 25 años de antigüedad empaquetado con seguros básicos.</w:t>
      </w:r>
    </w:p>
    <w:p>
      <w:pPr>
        <w:spacing w:after="200"/>
      </w:pPr>
      <w:r>
        <w:t xml:space="preserve">Tu modelo de comunidades colaborativas con MasterPlaybooks Inteligentes, SherpaIA, Lead AI Engine y plataforma transaccional representa una </w:t>
      </w:r>
      <w:r>
        <w:rPr>
          <w:b/>
          <w:bCs/>
        </w:rPr>
        <w:t xml:space="preserve">generación completamente diferente</w:t>
      </w:r>
      <w:r>
        <w:t xml:space="preserve"> de marketplace: puede absorber lo que TDU hace bien (red de descuentos masiva) y añadir capas de valor que transforman el gasto en descuentos del comercio en una inversión de captura de clientes con ROI medible.</w:t>
      </w:r>
    </w:p>
    <w:p>
      <w:pPr>
        <w:pStyle w:val="Heading1"/>
      </w:pPr>
      <w:r>
        <w:t xml:space="preserve">2. Integra Salud: Radiografía Completa</w:t>
      </w:r>
    </w:p>
    <w:p>
      <w:pPr>
        <w:pStyle w:val="Heading2"/>
      </w:pPr>
      <w:r>
        <w:t xml:space="preserve">2.1 Identidad y Estructura</w:t>
      </w:r>
    </w:p>
    <w:p>
      <w:pPr>
        <w:spacing w:after="120"/>
      </w:pPr>
      <w:r>
        <w:rPr>
          <w:b/>
          <w:bCs/>
        </w:rPr>
        <w:t xml:space="preserve">Razón social: </w:t>
      </w:r>
      <w:r>
        <w:t xml:space="preserve">Integra Salud y Servicios Médicos, S.A. de C.V.</w:t>
      </w:r>
    </w:p>
    <w:p>
      <w:pPr>
        <w:spacing w:after="120"/>
      </w:pPr>
      <w:r>
        <w:rPr>
          <w:b/>
          <w:bCs/>
        </w:rPr>
        <w:t xml:space="preserve">Sede: </w:t>
      </w:r>
      <w:r>
        <w:t xml:space="preserve">Ciudad de México</w:t>
      </w:r>
    </w:p>
    <w:p>
      <w:pPr>
        <w:spacing w:after="120"/>
      </w:pPr>
      <w:r>
        <w:rPr>
          <w:b/>
          <w:bCs/>
        </w:rPr>
        <w:t xml:space="preserve">Modelo de negocio: </w:t>
      </w:r>
      <w:r>
        <w:t xml:space="preserve">B2B2C — las empresas/sindicatos compran membresías corporativas como prestación para sus empleados/agremiados</w:t>
      </w:r>
    </w:p>
    <w:p>
      <w:pPr>
        <w:spacing w:after="120"/>
      </w:pPr>
      <w:r>
        <w:rPr>
          <w:b/>
          <w:bCs/>
        </w:rPr>
        <w:t xml:space="preserve">Alianza estratégica: </w:t>
      </w:r>
      <w:r>
        <w:t xml:space="preserve">Seguros Atlas (aseguradora con 80+ años). La tarjeta muestra co-branding Seguros Atlas + TDU</w:t>
      </w:r>
    </w:p>
    <w:p>
      <w:pPr>
        <w:spacing w:after="120"/>
      </w:pPr>
      <w:r>
        <w:rPr>
          <w:b/>
          <w:bCs/>
        </w:rPr>
        <w:t xml:space="preserve">Cobertura: </w:t>
      </w:r>
      <w:r>
        <w:t xml:space="preserve">Nacional (32 estados) + Colombia, El Salvador, Guatemala, Costa Rica</w:t>
      </w:r>
    </w:p>
    <w:p>
      <w:pPr>
        <w:spacing w:after="200"/>
      </w:pPr>
      <w:r>
        <w:rPr>
          <w:b/>
          <w:bCs/>
        </w:rPr>
        <w:t xml:space="preserve">Afiliados: </w:t>
      </w:r>
      <w:r>
        <w:t xml:space="preserve">+480,000 personas</w:t>
      </w:r>
    </w:p>
    <w:p>
      <w:pPr>
        <w:pStyle w:val="Heading2"/>
      </w:pPr>
      <w:r>
        <w:t xml:space="preserve">2.2 Red Médica y de Proveedores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tcPr>
          <w:p>
            <w:r>
              <w:rPr>
                <w:rFonts w:ascii="Arial" w:cs="Arial" w:eastAsia="Arial" w:hAnsi="Arial"/>
                <w:b/>
                <w:bCs/>
                <w:color w:val="FFFFFF"/>
                <w:sz w:val="20"/>
                <w:szCs w:val="20"/>
              </w:rPr>
              <w:t xml:space="preserve">Servicio</w:t>
            </w:r>
          </w:p>
        </w:tc>
        <w:tc>
          <w:tcPr>
            <w:tcW w:type="dxa" w:w="312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tcPr>
          <w:p>
            <w:r>
              <w:rPr>
                <w:rFonts w:ascii="Arial" w:cs="Arial" w:eastAsia="Arial" w:hAnsi="Arial"/>
                <w:b/>
                <w:bCs/>
                <w:color w:val="FFFFFF"/>
                <w:sz w:val="20"/>
                <w:szCs w:val="20"/>
              </w:rPr>
              <w:t xml:space="preserve">Cantidad</w:t>
            </w:r>
          </w:p>
        </w:tc>
        <w:tc>
          <w:tcPr>
            <w:tcW w:type="dxa" w:w="312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tcPr>
          <w:p>
            <w:r>
              <w:rPr>
                <w:rFonts w:ascii="Arial" w:cs="Arial" w:eastAsia="Arial" w:hAnsi="Arial"/>
                <w:b/>
                <w:bCs/>
                <w:color w:val="FFFFFF"/>
                <w:sz w:val="20"/>
                <w:szCs w:val="20"/>
              </w:rPr>
              <w:t xml:space="preserve">Cobertura</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Red médica (141 especialidades)</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6,386 médicos</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237 municipios</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Laboratorios y gabinete</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1,355</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259 municipios</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Red visual</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889 ópticas</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177 municipios</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Red odontológica</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924 consultorios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155 municipios</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Hospitales pago directo</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392 hospitales</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170 municipios</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Red funeraria</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406 funerarias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176 municipios</w:t>
            </w:r>
          </w:p>
        </w:tc>
      </w:tr>
      <w:tr>
        <w:tc>
          <w:tcPr>
            <w:tcW w:type="dxa" w:w="3120"/>
            <w:tcBorders>
              <w:top w:val="single" w:color="CCCCCC" w:sz="1"/>
              <w:left w:val="single" w:color="CCCCCC" w:sz="1"/>
              <w:bottom w:val="single" w:color="CCCCCC" w:sz="1"/>
              <w:right w:val="single" w:color="CCCCCC" w:sz="1"/>
            </w:tcBorders>
            <w:shd w:fill="E8F0FE" w:val="clear"/>
            <w:tcMar>
              <w:top w:type="dxa" w:w="80"/>
              <w:left w:type="dxa" w:w="120"/>
              <w:bottom w:type="dxa" w:w="80"/>
              <w:right w:type="dxa" w:w="120"/>
            </w:tcMar>
          </w:tcPr>
          <w:p>
            <w:r>
              <w:rPr>
                <w:rFonts w:ascii="Arial" w:cs="Arial" w:eastAsia="Arial" w:hAnsi="Arial"/>
                <w:b/>
                <w:bCs/>
                <w:color w:val="333333"/>
                <w:sz w:val="20"/>
                <w:szCs w:val="20"/>
              </w:rPr>
              <w:t xml:space="preserve">TOTAL</w:t>
            </w:r>
          </w:p>
        </w:tc>
        <w:tc>
          <w:tcPr>
            <w:tcW w:type="dxa" w:w="3120"/>
            <w:tcBorders>
              <w:top w:val="single" w:color="CCCCCC" w:sz="1"/>
              <w:left w:val="single" w:color="CCCCCC" w:sz="1"/>
              <w:bottom w:val="single" w:color="CCCCCC" w:sz="1"/>
              <w:right w:val="single" w:color="CCCCCC" w:sz="1"/>
            </w:tcBorders>
            <w:shd w:fill="E8F0FE" w:val="clear"/>
            <w:tcMar>
              <w:top w:type="dxa" w:w="80"/>
              <w:left w:type="dxa" w:w="120"/>
              <w:bottom w:type="dxa" w:w="80"/>
              <w:right w:type="dxa" w:w="120"/>
            </w:tcMar>
          </w:tcPr>
          <w:p>
            <w:r>
              <w:rPr>
                <w:rFonts w:ascii="Arial" w:cs="Arial" w:eastAsia="Arial" w:hAnsi="Arial"/>
                <w:b/>
                <w:bCs/>
                <w:color w:val="333333"/>
                <w:sz w:val="20"/>
                <w:szCs w:val="20"/>
              </w:rPr>
              <w:t xml:space="preserve">11,293 proveedores</w:t>
            </w:r>
          </w:p>
        </w:tc>
        <w:tc>
          <w:tcPr>
            <w:tcW w:type="dxa" w:w="3120"/>
            <w:tcBorders>
              <w:top w:val="single" w:color="CCCCCC" w:sz="1"/>
              <w:left w:val="single" w:color="CCCCCC" w:sz="1"/>
              <w:bottom w:val="single" w:color="CCCCCC" w:sz="1"/>
              <w:right w:val="single" w:color="CCCCCC" w:sz="1"/>
            </w:tcBorders>
            <w:shd w:fill="E8F0FE" w:val="clear"/>
            <w:tcMar>
              <w:top w:type="dxa" w:w="80"/>
              <w:left w:type="dxa" w:w="120"/>
              <w:bottom w:type="dxa" w:w="80"/>
              <w:right w:type="dxa" w:w="120"/>
            </w:tcMar>
          </w:tcPr>
          <w:p>
            <w:r>
              <w:rPr>
                <w:rFonts w:ascii="Arial" w:cs="Arial" w:eastAsia="Arial" w:hAnsi="Arial"/>
                <w:b/>
                <w:bCs/>
                <w:color w:val="333333"/>
                <w:sz w:val="20"/>
                <w:szCs w:val="20"/>
              </w:rPr>
              <w:t xml:space="preserve">32 estados, 2,109 municipios</w:t>
            </w:r>
          </w:p>
        </w:tc>
      </w:tr>
    </w:tbl>
    <w:p>
      <w:pPr>
        <w:spacing w:before="200"/>
      </w:pPr>
    </w:p>
    <w:p>
      <w:pPr>
        <w:pStyle w:val="Heading2"/>
      </w:pPr>
      <w:r>
        <w:t xml:space="preserve">2.3 Estructura del Producto (3 Capas)</w:t>
      </w:r>
    </w:p>
    <w:p>
      <w:pPr>
        <w:spacing w:after="200"/>
      </w:pPr>
      <w:r>
        <w:t xml:space="preserve">El producto de Integra Salud opera en tres capas bien definidas:</w:t>
      </w:r>
    </w:p>
    <w:p>
      <w:pPr>
        <w:spacing w:after="120"/>
      </w:pPr>
      <w:r>
        <w:rPr>
          <w:b/>
          <w:bCs/>
        </w:rPr>
        <w:t xml:space="preserve">Capa 1 — Asistencias Digitales/Telefónicas Ilimitadas: </w:t>
      </w:r>
      <w:r>
        <w:t xml:space="preserve">Orientación médica, nutricional y emocional 24/7/365. Videoconsultas ilimitadas de medicina general, psicología y nutrición.</w:t>
      </w:r>
    </w:p>
    <w:p>
      <w:pPr>
        <w:spacing w:after="120"/>
      </w:pPr>
      <w:r>
        <w:rPr>
          <w:b/>
          <w:bCs/>
        </w:rPr>
        <w:t xml:space="preserve">Capa 2 — Asistencias Físicas Limitadas/Preferenciales: </w:t>
      </w:r>
      <w:r>
        <w:t xml:space="preserve">Check-up básico anual gratuito (biometría, química sanguínea, grupo sanguíneo). Consulta + limpieza dental sin costo (1/año vía Dentalia). Ambulancia 1 evento gratis/año. 2-3 consultas médicas a domicilio sin costo (subsecuentes $450 MXN). Asistencia vial y en el hogar (cerrajería, plomería, electricidad: $450 en combinación de eventos). Cine 2x1 semanal (sala tradicional Cinemex/Cinépolis).</w:t>
      </w:r>
    </w:p>
    <w:p>
      <w:pPr>
        <w:spacing w:after="200"/>
      </w:pPr>
      <w:r>
        <w:rPr>
          <w:b/>
          <w:bCs/>
        </w:rPr>
        <w:t xml:space="preserve">Capa 3 — Seguros de Accidente (vía Seguros Atlas): </w:t>
      </w:r>
      <w:r>
        <w:t xml:space="preserve">Muerte accidental ($200K-$300K MXN), seguro de vida ($100K, solo Integra Plus), gastos médicos por accidente ($25K, deducible $0), invalidez total permanente ($200K), pérdidas orgánicas escala B ($200K), servicio funerario completo (inhumación o cremación). Edad de aceptación: 12-65 años.</w:t>
      </w:r>
    </w:p>
    <w:p>
      <w:pPr>
        <w:spacing w:after="200"/>
      </w:pPr>
      <w:r>
        <w:t xml:space="preserve">La diferencia entre los planes Plus y 360° es marginal: Plus incluye seguro de vida ($100K) y 3 consultas a domicilio vs 2 de 360°. El modelo se vende como </w:t>
      </w:r>
      <w:r>
        <w:rPr>
          <w:b/>
          <w:bCs/>
        </w:rPr>
        <w:t xml:space="preserve">prestación laboral para empresas y sindicatos</w:t>
      </w:r>
      <w:r>
        <w:t xml:space="preserve">: los empleadores pagan la membresía como beneficio para sus trabajadores. La App </w:t>
      </w:r>
      <w:r>
        <w:rPr>
          <w:i/>
          <w:iCs/>
        </w:rPr>
        <w:t xml:space="preserve">Integra Contigo</w:t>
      </w:r>
      <w:r>
        <w:t xml:space="preserve"> permite activación y gestión digital de los beneficios.</w:t>
      </w:r>
    </w:p>
    <w:p>
      <w:r>
        <w:br w:type="page"/>
      </w:r>
    </w:p>
    <w:p>
      <w:pPr>
        <w:pStyle w:val="Heading1"/>
      </w:pPr>
      <w:r>
        <w:t xml:space="preserve">3. Tarjetas TDU: El Motor de Descuentos</w:t>
      </w:r>
    </w:p>
    <w:p>
      <w:pPr>
        <w:pStyle w:val="Heading2"/>
      </w:pPr>
      <w:r>
        <w:t xml:space="preserve">3.1 Perfil de la Empresa</w:t>
      </w:r>
    </w:p>
    <w:p>
      <w:pPr>
        <w:spacing w:after="120"/>
      </w:pPr>
      <w:r>
        <w:rPr>
          <w:b/>
          <w:bCs/>
        </w:rPr>
        <w:t xml:space="preserve">Razón social: </w:t>
      </w:r>
      <w:r>
        <w:t xml:space="preserve">Descuentos Universitarios de México, S. de R.L. de C.V.</w:t>
      </w:r>
    </w:p>
    <w:p>
      <w:pPr>
        <w:spacing w:after="120"/>
      </w:pPr>
      <w:r>
        <w:rPr>
          <w:b/>
          <w:bCs/>
        </w:rPr>
        <w:t xml:space="preserve">Trayectoria: </w:t>
      </w:r>
      <w:r>
        <w:t xml:space="preserve">Más de 25 años (fundada aprox. ~2000)</w:t>
      </w:r>
    </w:p>
    <w:p>
      <w:pPr>
        <w:spacing w:after="120"/>
      </w:pPr>
      <w:r>
        <w:rPr>
          <w:b/>
          <w:bCs/>
        </w:rPr>
        <w:t xml:space="preserve">Posicionamiento: </w:t>
      </w:r>
      <w:r>
        <w:t xml:space="preserve">La red de beneficios y descuentos más grande de México</w:t>
      </w:r>
    </w:p>
    <w:p>
      <w:pPr>
        <w:spacing w:after="120"/>
      </w:pPr>
      <w:r>
        <w:rPr>
          <w:b/>
          <w:bCs/>
        </w:rPr>
        <w:t xml:space="preserve">Establecimientos: </w:t>
      </w:r>
      <w:r>
        <w:t xml:space="preserve">+10,000 afiliados en toda la República (+120 ciudades)</w:t>
      </w:r>
    </w:p>
    <w:p>
      <w:pPr>
        <w:spacing w:after="200"/>
      </w:pPr>
      <w:r>
        <w:t xml:space="preserve">TDU nació como tarjeta de descuentos para universitarios y evolucionó hacia múltiples segmentos. Opera como un </w:t>
      </w:r>
      <w:r>
        <w:rPr>
          <w:b/>
          <w:bCs/>
        </w:rPr>
        <w:t xml:space="preserve">agregador de descuentos masivos</w:t>
      </w:r>
      <w:r>
        <w:t xml:space="preserve"> cuyo modelo comercial de marca privada consiste en vender su catálogo de descuentos empaquetado a otras marcas (bancos, aseguradoras como Seguros Atlas, asistenciadoras como Integra Salud) para que lo monten sobre sus propias aplicaciones vía API/SDK o emitan tarjetas personalizadas.</w:t>
      </w:r>
    </w:p>
    <w:p>
      <w:pPr>
        <w:pStyle w:val="Heading2"/>
      </w:pPr>
      <w:r>
        <w:t xml:space="preserve">3.2 Productos y Precios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600"/>
        <w:gridCol w:w="1800"/>
        <w:gridCol w:w="3860"/>
      </w:tblGrid>
      <w:tr>
        <w:tc>
          <w:tcPr>
            <w:tcW w:type="dxa" w:w="210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tcPr>
          <w:p>
            <w:r>
              <w:rPr>
                <w:rFonts w:ascii="Arial" w:cs="Arial" w:eastAsia="Arial" w:hAnsi="Arial"/>
                <w:b/>
                <w:bCs/>
                <w:color w:val="FFFFFF"/>
                <w:sz w:val="20"/>
                <w:szCs w:val="20"/>
              </w:rPr>
              <w:t xml:space="preserve">Tarjeta</w:t>
            </w:r>
          </w:p>
        </w:tc>
        <w:tc>
          <w:tcPr>
            <w:tcW w:type="dxa" w:w="160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tcPr>
          <w:p>
            <w:r>
              <w:rPr>
                <w:rFonts w:ascii="Arial" w:cs="Arial" w:eastAsia="Arial" w:hAnsi="Arial"/>
                <w:b/>
                <w:bCs/>
                <w:color w:val="FFFFFF"/>
                <w:sz w:val="20"/>
                <w:szCs w:val="20"/>
              </w:rPr>
              <w:t xml:space="preserve">Precio/Año</w:t>
            </w:r>
          </w:p>
        </w:tc>
        <w:tc>
          <w:tcPr>
            <w:tcW w:type="dxa" w:w="180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tcPr>
          <w:p>
            <w:r>
              <w:rPr>
                <w:rFonts w:ascii="Arial" w:cs="Arial" w:eastAsia="Arial" w:hAnsi="Arial"/>
                <w:b/>
                <w:bCs/>
                <w:color w:val="FFFFFF"/>
                <w:sz w:val="20"/>
                <w:szCs w:val="20"/>
              </w:rPr>
              <w:t xml:space="preserve">Segmento</w:t>
            </w:r>
          </w:p>
        </w:tc>
        <w:tc>
          <w:tcPr>
            <w:tcW w:type="dxa" w:w="386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tcPr>
          <w:p>
            <w:r>
              <w:rPr>
                <w:rFonts w:ascii="Arial" w:cs="Arial" w:eastAsia="Arial" w:hAnsi="Arial"/>
                <w:b/>
                <w:bCs/>
                <w:color w:val="FFFFFF"/>
                <w:sz w:val="20"/>
                <w:szCs w:val="20"/>
              </w:rPr>
              <w:t xml:space="preserve">Diferencial</w:t>
            </w:r>
          </w:p>
        </w:tc>
      </w:tr>
      <w:tr>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TDU Universitaria</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$250 MXN</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Estudiantes</w:t>
            </w:r>
          </w:p>
        </w:tc>
        <w:tc>
          <w:tcPr>
            <w:tcW w:type="dxa" w:w="3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Descuentos comerciales básicos en +9,500 establecimientos</w:t>
            </w:r>
          </w:p>
        </w:tc>
      </w:tr>
      <w:tr>
        <w:tc>
          <w:tcPr>
            <w:tcW w:type="dxa" w:w="21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TDU Empresarial</w:t>
            </w:r>
          </w:p>
        </w:tc>
        <w:tc>
          <w:tcPr>
            <w:tcW w:type="dxa" w:w="16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$350 MXN</w:t>
            </w:r>
          </w:p>
        </w:tc>
        <w:tc>
          <w:tcPr>
            <w:tcW w:type="dxa" w:w="18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&gt;26 años</w:t>
            </w:r>
          </w:p>
        </w:tc>
        <w:tc>
          <w:tcPr>
            <w:tcW w:type="dxa" w:w="386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Red comercial ampliada</w:t>
            </w:r>
          </w:p>
        </w:tc>
      </w:tr>
      <w:tr>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TDU S4 Médica</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$550 MXN</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Familias</w:t>
            </w:r>
          </w:p>
        </w:tc>
        <w:tc>
          <w:tcPr>
            <w:tcW w:type="dxa" w:w="3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Descuentos + red médica + seguros básicos + asistencia 24/7</w:t>
            </w:r>
          </w:p>
        </w:tc>
      </w:tr>
      <w:tr>
        <w:tc>
          <w:tcPr>
            <w:tcW w:type="dxa" w:w="21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TDU Premium</w:t>
            </w:r>
          </w:p>
        </w:tc>
        <w:tc>
          <w:tcPr>
            <w:tcW w:type="dxa" w:w="16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$650 MXN</w:t>
            </w:r>
          </w:p>
        </w:tc>
        <w:tc>
          <w:tcPr>
            <w:tcW w:type="dxa" w:w="18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Ejecutivos</w:t>
            </w:r>
          </w:p>
        </w:tc>
        <w:tc>
          <w:tcPr>
            <w:tcW w:type="dxa" w:w="386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Restaurantes y hoteles exclusivos, botellas de vino, joyerías</w:t>
            </w:r>
          </w:p>
        </w:tc>
      </w:tr>
      <w:tr>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Capital People (C4U)</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Desde $15/emp/mes</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B2B White-label</w:t>
            </w:r>
          </w:p>
        </w:tc>
        <w:tc>
          <w:tcPr>
            <w:tcW w:type="dxa" w:w="38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Marca privada + API/SDK + farmacias Grupo RFP + app propia</w:t>
            </w:r>
          </w:p>
        </w:tc>
      </w:tr>
    </w:tbl>
    <w:p>
      <w:pPr>
        <w:spacing w:before="200"/>
      </w:pPr>
    </w:p>
    <w:p>
      <w:pPr>
        <w:pStyle w:val="Heading2"/>
      </w:pPr>
      <w:r>
        <w:t xml:space="preserve">3.3 Capital People: El Modelo White-Label</w:t>
      </w:r>
    </w:p>
    <w:p>
      <w:pPr>
        <w:spacing w:after="200"/>
      </w:pPr>
      <w:r>
        <w:rPr>
          <w:b/>
          <w:bCs/>
        </w:rPr>
        <w:t xml:space="preserve">Capital People</w:t>
      </w:r>
      <w:r>
        <w:t xml:space="preserve"> es la solución B2B de TDU que permite a empresas, sindicatos, colegios profesionales y organizaciones ofrecer una tarjeta de descuentos con su propia marca. Integra Salud utiliza exactamente este modelo (co-branded con Seguros Atlas). Runa HR lo revende como beneficio para empleados a $15 MXN/empleado/mes. El Colegio de Contadores Públicos de Guadalajara lo ofrece a sus agremiados.</w:t>
      </w:r>
    </w:p>
    <w:p>
      <w:pPr>
        <w:spacing w:after="200"/>
      </w:pPr>
      <w:r>
        <w:t xml:space="preserve">TDU proporciona: la infraestructura de descuentos (10K+ comercios), la app TDU-C4U personalizable, tarjeta física/digital con logo de la organización, y acceso a farmacias de Grupo RFP. La organización contratante paga un fee por miembro y recibe un beneficio tangible sin necesidad de negociar con cada comercio individualmente.</w:t>
      </w:r>
    </w:p>
    <w:p>
      <w:r>
        <w:br w:type="page"/>
      </w:r>
    </w:p>
    <w:p>
      <w:pPr>
        <w:pStyle w:val="Heading1"/>
      </w:pPr>
      <w:r>
        <w:t xml:space="preserve">4. Deficiencias Estructurales del Modelo TDU/Integra Salud</w:t>
      </w:r>
    </w:p>
    <w:p>
      <w:pPr>
        <w:spacing w:after="200"/>
      </w:pPr>
      <w:r>
        <w:t xml:space="preserve">La hipótesis de Victor se valida al 100%. El modelo padece de deficiencias fundamentales que lo hacen vulnerable a una propuesta de siguiente generación:</w:t>
      </w:r>
    </w:p>
    <w:p>
      <w:pPr>
        <w:pStyle w:val="Heading3"/>
      </w:pPr>
      <w:r>
        <w:t xml:space="preserve">Deficiencia 1: Modelo "Show &amp; Save" Pasivo y Erosivo</w:t>
      </w:r>
    </w:p>
    <w:p>
      <w:pPr>
        <w:spacing w:after="200"/>
      </w:pPr>
      <w:r>
        <w:t xml:space="preserve">El comercio afiliado otorga un descuento fijo (10-50%) absorbiendo la totalidad del costo a cambio de la promesa de que TDU le enviará tráfico. No hay prepago, no hay reserva, no hay garantía de volumen. El comercio da margen sin certeza de retorno.</w:t>
      </w:r>
    </w:p>
    <w:p>
      <w:pPr>
        <w:pStyle w:val="Heading3"/>
      </w:pPr>
      <w:r>
        <w:t xml:space="preserve">Deficiencia 2: Cero Funcionalidad de Valor para el Comercio</w:t>
      </w:r>
    </w:p>
    <w:p>
      <w:pPr>
        <w:spacing w:after="200"/>
      </w:pPr>
      <w:r>
        <w:t xml:space="preserve">TDU no proporciona al comercio pasarela transaccional, herramientas de CRM, ni analítica sobre el comportamiento del consumidor. El comercio no sabe quién lo visitó con tarjeta TDU, qué consumió, con qué frecuencia regresa, ni cuál es su ticket promedio. No puede automatizar la retención.</w:t>
      </w:r>
    </w:p>
    <w:p>
      <w:pPr>
        <w:pStyle w:val="Heading3"/>
      </w:pPr>
      <w:r>
        <w:t xml:space="preserve">Deficiencia 3: Sin Descuentos Dinámicos ni Yield Management</w:t>
      </w:r>
    </w:p>
    <w:p>
      <w:pPr>
        <w:spacing w:after="200"/>
      </w:pPr>
      <w:r>
        <w:t xml:space="preserve">Si un restaurante tiene mesas vacías un martes a las 5PM, no puede usar TDU para lanzar una oferta relámpago y llenar ese espacio. El descuento es plano, estático y permanente. No hay inteligencia de precios ni gestión de inventario/capacidad.</w:t>
      </w:r>
    </w:p>
    <w:p>
      <w:pPr>
        <w:pStyle w:val="Heading3"/>
      </w:pPr>
      <w:r>
        <w:t xml:space="preserve">Deficiencia 4: Sin Comunidad ni Engagement</w:t>
      </w:r>
    </w:p>
    <w:p>
      <w:pPr>
        <w:spacing w:after="200"/>
      </w:pPr>
      <w:r>
        <w:t xml:space="preserve">No hay interacción entre miembros, no hay contenido, no hay foros, no hay eventos. El usuario solo abre la app cuando va a un comercio afiliado. Engagement transaccional puro = alta tasa de tarjetas dormidas.</w:t>
      </w:r>
    </w:p>
    <w:p>
      <w:pPr>
        <w:pStyle w:val="Heading3"/>
      </w:pPr>
      <w:r>
        <w:t xml:space="preserve">Deficiencia 5: Sin Data de Intención ni Inteligencia</w:t>
      </w:r>
    </w:p>
    <w:p>
      <w:pPr>
        <w:spacing w:after="200"/>
      </w:pPr>
      <w:r>
        <w:t xml:space="preserve">TDU sabe cuántas tarjetas vendió pero no sabe qué quieren sus usuarios. No capturan datos de intención de compra, no hay perfiles de comportamiento, no hay matching inteligente entre oferta y demanda.</w:t>
      </w:r>
    </w:p>
    <w:p>
      <w:pPr>
        <w:pStyle w:val="Heading3"/>
      </w:pPr>
      <w:r>
        <w:t xml:space="preserve">Deficiencia 6: Modelo de Fidelización Nulo</w:t>
      </w:r>
    </w:p>
    <w:p>
      <w:pPr>
        <w:spacing w:after="200"/>
      </w:pPr>
      <w:r>
        <w:t xml:space="preserve">No existe monedero electrónico, cashback cruzado, puntos, ni ningún mecanismo que incentive al usuario a permanecer dentro del ecosistema. El usuario busca el logo de TDU en un establecimiento y, si no lo ve, la tarjeta pierde toda relevancia.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c>
          <w:tcPr>
            <w:tcW w:type="dxa" w:w="234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tcPr>
          <w:p>
            <w:r>
              <w:rPr>
                <w:rFonts w:ascii="Arial" w:cs="Arial" w:eastAsia="Arial" w:hAnsi="Arial"/>
                <w:b/>
                <w:bCs/>
                <w:color w:val="FFFFFF"/>
                <w:sz w:val="20"/>
                <w:szCs w:val="20"/>
              </w:rPr>
              <w:t xml:space="preserve">Deficiencia</w:t>
            </w:r>
          </w:p>
        </w:tc>
        <w:tc>
          <w:tcPr>
            <w:tcW w:type="dxa" w:w="351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tcPr>
          <w:p>
            <w:r>
              <w:rPr>
                <w:rFonts w:ascii="Arial" w:cs="Arial" w:eastAsia="Arial" w:hAnsi="Arial"/>
                <w:b/>
                <w:bCs/>
                <w:color w:val="FFFFFF"/>
                <w:sz w:val="20"/>
                <w:szCs w:val="20"/>
              </w:rPr>
              <w:t xml:space="preserve">Impacto en el Ecosistema</w:t>
            </w:r>
          </w:p>
        </w:tc>
        <w:tc>
          <w:tcPr>
            <w:tcW w:type="dxa" w:w="351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tcPr>
          <w:p>
            <w:r>
              <w:rPr>
                <w:rFonts w:ascii="Arial" w:cs="Arial" w:eastAsia="Arial" w:hAnsi="Arial"/>
                <w:b/>
                <w:bCs/>
                <w:color w:val="FFFFFF"/>
                <w:sz w:val="20"/>
                <w:szCs w:val="20"/>
              </w:rPr>
              <w:t xml:space="preserve">Ventaja EmpowerLabs</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Show &amp; Save pasivo</w:t>
            </w:r>
          </w:p>
        </w:tc>
        <w:tc>
          <w:tcPr>
            <w:tcW w:type="dxa" w:w="351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Comercio absorbe costo sin ROI medible</w:t>
            </w:r>
          </w:p>
        </w:tc>
        <w:tc>
          <w:tcPr>
            <w:tcW w:type="dxa" w:w="351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Marketplace transaccional: prepago, reserva, cupones digitales con pago anticipado al comercio</w:t>
            </w:r>
          </w:p>
        </w:tc>
      </w:tr>
      <w:tr>
        <w:tc>
          <w:tcPr>
            <w:tcW w:type="dxa" w:w="234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Sin CRM ni analytics</w:t>
            </w:r>
          </w:p>
        </w:tc>
        <w:tc>
          <w:tcPr>
            <w:tcW w:type="dxa" w:w="351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Comercio opera a ciegas</w:t>
            </w:r>
          </w:p>
        </w:tc>
        <w:tc>
          <w:tcPr>
            <w:tcW w:type="dxa" w:w="351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Dashboard con perfil de usuarios, recurrencia, ticket promedio, tendencias de intención</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Descuentos estáticos</w:t>
            </w:r>
          </w:p>
        </w:tc>
        <w:tc>
          <w:tcPr>
            <w:tcW w:type="dxa" w:w="351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No optimiza capacidad ociosa</w:t>
            </w:r>
          </w:p>
        </w:tc>
        <w:tc>
          <w:tcPr>
            <w:tcW w:type="dxa" w:w="351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Yield management: descuentos dinámicos por hora/día. 35% martes AM, 0% sábado noche</w:t>
            </w:r>
          </w:p>
        </w:tc>
      </w:tr>
      <w:tr>
        <w:tc>
          <w:tcPr>
            <w:tcW w:type="dxa" w:w="234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Sin comunidad</w:t>
            </w:r>
          </w:p>
        </w:tc>
        <w:tc>
          <w:tcPr>
            <w:tcW w:type="dxa" w:w="351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Tarjetas dormidas, 0 engagement</w:t>
            </w:r>
          </w:p>
        </w:tc>
        <w:tc>
          <w:tcPr>
            <w:tcW w:type="dxa" w:w="351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Comunidad activa con foros, contenido, MPIs, eventos, gamificación</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Sin data de intención</w:t>
            </w:r>
          </w:p>
        </w:tc>
        <w:tc>
          <w:tcPr>
            <w:tcW w:type="dxa" w:w="351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Tráfico ciego, sin calificar</w:t>
            </w:r>
          </w:p>
        </w:tc>
        <w:tc>
          <w:tcPr>
            <w:tcW w:type="dxa" w:w="351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MPI + SherpaIA capturan intención; Lead AI Engine entrega prospectos con diagnóstico hecho</w:t>
            </w:r>
          </w:p>
        </w:tc>
      </w:tr>
      <w:tr>
        <w:tc>
          <w:tcPr>
            <w:tcW w:type="dxa" w:w="234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Sin fidelización</w:t>
            </w:r>
          </w:p>
        </w:tc>
        <w:tc>
          <w:tcPr>
            <w:tcW w:type="dxa" w:w="351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Usuario sale del ecosistema fácilmente</w:t>
            </w:r>
          </w:p>
        </w:tc>
        <w:tc>
          <w:tcPr>
            <w:tcW w:type="dxa" w:w="351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Monedero electrónico con cashback cruzado: saldo solo redimible dentro del marketplace</w:t>
            </w:r>
          </w:p>
        </w:tc>
      </w:tr>
    </w:tbl>
    <w:p>
      <w:pPr>
        <w:spacing w:before="200"/>
      </w:pPr>
    </w:p>
    <w:p>
      <w:r>
        <w:br w:type="page"/>
      </w:r>
    </w:p>
    <w:p>
      <w:pPr>
        <w:pStyle w:val="Heading1"/>
      </w:pPr>
      <w:r>
        <w:t xml:space="preserve">5. Comparativa Integral: TDU vs. Marketplace de Comunidades Colaborativas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3630"/>
        <w:gridCol w:w="3630"/>
      </w:tblGrid>
      <w:tr>
        <w:tc>
          <w:tcPr>
            <w:tcW w:type="dxa" w:w="210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tcPr>
          <w:p>
            <w:r>
              <w:rPr>
                <w:rFonts w:ascii="Arial" w:cs="Arial" w:eastAsia="Arial" w:hAnsi="Arial"/>
                <w:b/>
                <w:bCs/>
                <w:color w:val="FFFFFF"/>
                <w:sz w:val="20"/>
                <w:szCs w:val="20"/>
              </w:rPr>
              <w:t xml:space="preserve">Dimensión</w:t>
            </w:r>
          </w:p>
        </w:tc>
        <w:tc>
          <w:tcPr>
            <w:tcW w:type="dxa" w:w="363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tcPr>
          <w:p>
            <w:r>
              <w:rPr>
                <w:rFonts w:ascii="Arial" w:cs="Arial" w:eastAsia="Arial" w:hAnsi="Arial"/>
                <w:b/>
                <w:bCs/>
                <w:color w:val="FFFFFF"/>
                <w:sz w:val="20"/>
                <w:szCs w:val="20"/>
              </w:rPr>
              <w:t xml:space="preserve">Integra Salud / TDU</w:t>
            </w:r>
          </w:p>
        </w:tc>
        <w:tc>
          <w:tcPr>
            <w:tcW w:type="dxa" w:w="363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tcPr>
          <w:p>
            <w:r>
              <w:rPr>
                <w:rFonts w:ascii="Arial" w:cs="Arial" w:eastAsia="Arial" w:hAnsi="Arial"/>
                <w:b/>
                <w:bCs/>
                <w:color w:val="FFFFFF"/>
                <w:sz w:val="20"/>
                <w:szCs w:val="20"/>
              </w:rPr>
              <w:t xml:space="preserve">Marketplace Colaborativo (EmpowerLabs)</w:t>
            </w:r>
          </w:p>
        </w:tc>
      </w:tr>
      <w:tr>
        <w:tc>
          <w:tcPr>
            <w:tcW w:type="dxa" w:w="2100"/>
            <w:tcBorders>
              <w:top w:val="single" w:color="CCCCCC" w:sz="1"/>
              <w:left w:val="single" w:color="CCCCCC" w:sz="1"/>
              <w:bottom w:val="single" w:color="CCCCCC" w:sz="1"/>
              <w:right w:val="single" w:color="CCCCCC" w:sz="1"/>
            </w:tcBorders>
            <w:shd w:fill="E8F0FE" w:val="clear"/>
            <w:tcMar>
              <w:top w:type="dxa" w:w="80"/>
              <w:left w:type="dxa" w:w="120"/>
              <w:bottom w:type="dxa" w:w="80"/>
              <w:right w:type="dxa" w:w="120"/>
            </w:tcMar>
          </w:tcPr>
          <w:p>
            <w:r>
              <w:rPr>
                <w:rFonts w:ascii="Arial" w:cs="Arial" w:eastAsia="Arial" w:hAnsi="Arial"/>
                <w:b/>
                <w:bCs/>
                <w:color w:val="333333"/>
                <w:sz w:val="20"/>
                <w:szCs w:val="20"/>
              </w:rPr>
              <w:t xml:space="preserve">Modelo de negocio</w:t>
            </w:r>
          </w:p>
        </w:tc>
        <w:tc>
          <w:tcPr>
            <w:tcW w:type="dxa" w:w="363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B2B2C: tarjeta de descuentos + seguros como prestación laboral</w:t>
            </w:r>
          </w:p>
        </w:tc>
        <w:tc>
          <w:tcPr>
            <w:tcW w:type="dxa" w:w="363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Community Vertical Marketplace con 4 capas: Media, Comunidad, Transacción, Lead AI Engine</w:t>
            </w:r>
          </w:p>
        </w:tc>
      </w:tr>
      <w:tr>
        <w:tc>
          <w:tcPr>
            <w:tcW w:type="dxa" w:w="2100"/>
            <w:tcBorders>
              <w:top w:val="single" w:color="CCCCCC" w:sz="1"/>
              <w:left w:val="single" w:color="CCCCCC" w:sz="1"/>
              <w:bottom w:val="single" w:color="CCCCCC" w:sz="1"/>
              <w:right w:val="single" w:color="CCCCCC" w:sz="1"/>
            </w:tcBorders>
            <w:shd w:fill="E8F0FE" w:val="clear"/>
            <w:tcMar>
              <w:top w:type="dxa" w:w="80"/>
              <w:left w:type="dxa" w:w="120"/>
              <w:bottom w:type="dxa" w:w="80"/>
              <w:right w:type="dxa" w:w="120"/>
            </w:tcMar>
          </w:tcPr>
          <w:p>
            <w:r>
              <w:rPr>
                <w:rFonts w:ascii="Arial" w:cs="Arial" w:eastAsia="Arial" w:hAnsi="Arial"/>
                <w:b/>
                <w:bCs/>
                <w:color w:val="333333"/>
                <w:sz w:val="20"/>
                <w:szCs w:val="20"/>
              </w:rPr>
              <w:t xml:space="preserve">Modelo de beneficio</w:t>
            </w:r>
          </w:p>
        </w:tc>
        <w:tc>
          <w:tcPr>
            <w:tcW w:type="dxa" w:w="363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Estático ("Show &amp; Save"): usuario muestra tarjeta en caja</w:t>
            </w:r>
          </w:p>
        </w:tc>
        <w:tc>
          <w:tcPr>
            <w:tcW w:type="dxa" w:w="363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Transaccional: compra directa en marketplace (prepago, reserva, cupones digitales)</w:t>
            </w:r>
          </w:p>
        </w:tc>
      </w:tr>
      <w:tr>
        <w:tc>
          <w:tcPr>
            <w:tcW w:type="dxa" w:w="2100"/>
            <w:tcBorders>
              <w:top w:val="single" w:color="CCCCCC" w:sz="1"/>
              <w:left w:val="single" w:color="CCCCCC" w:sz="1"/>
              <w:bottom w:val="single" w:color="CCCCCC" w:sz="1"/>
              <w:right w:val="single" w:color="CCCCCC" w:sz="1"/>
            </w:tcBorders>
            <w:shd w:fill="E8F0FE" w:val="clear"/>
            <w:tcMar>
              <w:top w:type="dxa" w:w="80"/>
              <w:left w:type="dxa" w:w="120"/>
              <w:bottom w:type="dxa" w:w="80"/>
              <w:right w:type="dxa" w:w="120"/>
            </w:tcMar>
          </w:tcPr>
          <w:p>
            <w:r>
              <w:rPr>
                <w:rFonts w:ascii="Arial" w:cs="Arial" w:eastAsia="Arial" w:hAnsi="Arial"/>
                <w:b/>
                <w:bCs/>
                <w:color w:val="333333"/>
                <w:sz w:val="20"/>
                <w:szCs w:val="20"/>
              </w:rPr>
              <w:t xml:space="preserve">Valor al miembro</w:t>
            </w:r>
          </w:p>
        </w:tc>
        <w:tc>
          <w:tcPr>
            <w:tcW w:type="dxa" w:w="363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Descuentos pasivos, servicios médicos básicos, seguros de accidente</w:t>
            </w:r>
          </w:p>
        </w:tc>
        <w:tc>
          <w:tcPr>
            <w:tcW w:type="dxa" w:w="363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Contenido personalizado (MPIs), SherpaIA, comunidad activa, empleos, formación, descuentos inteligentes, cashback</w:t>
            </w:r>
          </w:p>
        </w:tc>
      </w:tr>
      <w:tr>
        <w:tc>
          <w:tcPr>
            <w:tcW w:type="dxa" w:w="2100"/>
            <w:tcBorders>
              <w:top w:val="single" w:color="CCCCCC" w:sz="1"/>
              <w:left w:val="single" w:color="CCCCCC" w:sz="1"/>
              <w:bottom w:val="single" w:color="CCCCCC" w:sz="1"/>
              <w:right w:val="single" w:color="CCCCCC" w:sz="1"/>
            </w:tcBorders>
            <w:shd w:fill="E8F0FE" w:val="clear"/>
            <w:tcMar>
              <w:top w:type="dxa" w:w="80"/>
              <w:left w:type="dxa" w:w="120"/>
              <w:bottom w:type="dxa" w:w="80"/>
              <w:right w:type="dxa" w:w="120"/>
            </w:tcMar>
          </w:tcPr>
          <w:p>
            <w:r>
              <w:rPr>
                <w:rFonts w:ascii="Arial" w:cs="Arial" w:eastAsia="Arial" w:hAnsi="Arial"/>
                <w:b/>
                <w:bCs/>
                <w:color w:val="333333"/>
                <w:sz w:val="20"/>
                <w:szCs w:val="20"/>
              </w:rPr>
              <w:t xml:space="preserve">Valor al comercio</w:t>
            </w:r>
          </w:p>
        </w:tc>
        <w:tc>
          <w:tcPr>
            <w:tcW w:type="dxa" w:w="363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Canal pasivo que reduce margen sin ROI medible ni CRM ni analytics</w:t>
            </w:r>
          </w:p>
        </w:tc>
        <w:tc>
          <w:tcPr>
            <w:tcW w:type="dxa" w:w="363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Leads calificados, CRM, analytics, yield management, ingresos prepagados, presencia en comunidad</w:t>
            </w:r>
          </w:p>
        </w:tc>
      </w:tr>
      <w:tr>
        <w:tc>
          <w:tcPr>
            <w:tcW w:type="dxa" w:w="2100"/>
            <w:tcBorders>
              <w:top w:val="single" w:color="CCCCCC" w:sz="1"/>
              <w:left w:val="single" w:color="CCCCCC" w:sz="1"/>
              <w:bottom w:val="single" w:color="CCCCCC" w:sz="1"/>
              <w:right w:val="single" w:color="CCCCCC" w:sz="1"/>
            </w:tcBorders>
            <w:shd w:fill="E8F0FE" w:val="clear"/>
            <w:tcMar>
              <w:top w:type="dxa" w:w="80"/>
              <w:left w:type="dxa" w:w="120"/>
              <w:bottom w:type="dxa" w:w="80"/>
              <w:right w:type="dxa" w:w="120"/>
            </w:tcMar>
          </w:tcPr>
          <w:p>
            <w:r>
              <w:rPr>
                <w:rFonts w:ascii="Arial" w:cs="Arial" w:eastAsia="Arial" w:hAnsi="Arial"/>
                <w:b/>
                <w:bCs/>
                <w:color w:val="333333"/>
                <w:sz w:val="20"/>
                <w:szCs w:val="20"/>
              </w:rPr>
              <w:t xml:space="preserve">Tecnología</w:t>
            </w:r>
          </w:p>
        </w:tc>
        <w:tc>
          <w:tcPr>
            <w:tcW w:type="dxa" w:w="363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App de directorio + tarjeta física/digital. Sin transaccionalidad</w:t>
            </w:r>
          </w:p>
        </w:tc>
        <w:tc>
          <w:tcPr>
            <w:tcW w:type="dxa" w:w="363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Plataforma con 13 módulos: News Engine, Marketplace B2B/B2C, Campus, Gamificación, Clasificados, IA transversal</w:t>
            </w:r>
          </w:p>
        </w:tc>
      </w:tr>
      <w:tr>
        <w:tc>
          <w:tcPr>
            <w:tcW w:type="dxa" w:w="2100"/>
            <w:tcBorders>
              <w:top w:val="single" w:color="CCCCCC" w:sz="1"/>
              <w:left w:val="single" w:color="CCCCCC" w:sz="1"/>
              <w:bottom w:val="single" w:color="CCCCCC" w:sz="1"/>
              <w:right w:val="single" w:color="CCCCCC" w:sz="1"/>
            </w:tcBorders>
            <w:shd w:fill="E8F0FE" w:val="clear"/>
            <w:tcMar>
              <w:top w:type="dxa" w:w="80"/>
              <w:left w:type="dxa" w:w="120"/>
              <w:bottom w:type="dxa" w:w="80"/>
              <w:right w:type="dxa" w:w="120"/>
            </w:tcMar>
          </w:tcPr>
          <w:p>
            <w:r>
              <w:rPr>
                <w:rFonts w:ascii="Arial" w:cs="Arial" w:eastAsia="Arial" w:hAnsi="Arial"/>
                <w:b/>
                <w:bCs/>
                <w:color w:val="333333"/>
                <w:sz w:val="20"/>
                <w:szCs w:val="20"/>
              </w:rPr>
              <w:t xml:space="preserve">Precios</w:t>
            </w:r>
          </w:p>
        </w:tc>
        <w:tc>
          <w:tcPr>
            <w:tcW w:type="dxa" w:w="363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Fijos / todo el año / sin variación</w:t>
            </w:r>
          </w:p>
        </w:tc>
        <w:tc>
          <w:tcPr>
            <w:tcW w:type="dxa" w:w="363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Dinámicos: yield management para horas de baja afluencia, ofertas relámpago, temporalidad</w:t>
            </w:r>
          </w:p>
        </w:tc>
      </w:tr>
      <w:tr>
        <w:tc>
          <w:tcPr>
            <w:tcW w:type="dxa" w:w="2100"/>
            <w:tcBorders>
              <w:top w:val="single" w:color="CCCCCC" w:sz="1"/>
              <w:left w:val="single" w:color="CCCCCC" w:sz="1"/>
              <w:bottom w:val="single" w:color="CCCCCC" w:sz="1"/>
              <w:right w:val="single" w:color="CCCCCC" w:sz="1"/>
            </w:tcBorders>
            <w:shd w:fill="E8F0FE" w:val="clear"/>
            <w:tcMar>
              <w:top w:type="dxa" w:w="80"/>
              <w:left w:type="dxa" w:w="120"/>
              <w:bottom w:type="dxa" w:w="80"/>
              <w:right w:type="dxa" w:w="120"/>
            </w:tcMar>
          </w:tcPr>
          <w:p>
            <w:r>
              <w:rPr>
                <w:rFonts w:ascii="Arial" w:cs="Arial" w:eastAsia="Arial" w:hAnsi="Arial"/>
                <w:b/>
                <w:bCs/>
                <w:color w:val="333333"/>
                <w:sz w:val="20"/>
                <w:szCs w:val="20"/>
              </w:rPr>
              <w:t xml:space="preserve">Data</w:t>
            </w:r>
          </w:p>
        </w:tc>
        <w:tc>
          <w:tcPr>
            <w:tcW w:type="dxa" w:w="363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Solo sabe tarjetas vendidas. Sin datos de comportamiento ni intención</w:t>
            </w:r>
          </w:p>
        </w:tc>
        <w:tc>
          <w:tcPr>
            <w:tcW w:type="dxa" w:w="363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Perfil completo: qué busca, qué simuló, en qué etapa de decisión está, frecuencia, ticket promedio</w:t>
            </w:r>
          </w:p>
        </w:tc>
      </w:tr>
      <w:tr>
        <w:tc>
          <w:tcPr>
            <w:tcW w:type="dxa" w:w="2100"/>
            <w:tcBorders>
              <w:top w:val="single" w:color="CCCCCC" w:sz="1"/>
              <w:left w:val="single" w:color="CCCCCC" w:sz="1"/>
              <w:bottom w:val="single" w:color="CCCCCC" w:sz="1"/>
              <w:right w:val="single" w:color="CCCCCC" w:sz="1"/>
            </w:tcBorders>
            <w:shd w:fill="E8F0FE" w:val="clear"/>
            <w:tcMar>
              <w:top w:type="dxa" w:w="80"/>
              <w:left w:type="dxa" w:w="120"/>
              <w:bottom w:type="dxa" w:w="80"/>
              <w:right w:type="dxa" w:w="120"/>
            </w:tcMar>
          </w:tcPr>
          <w:p>
            <w:r>
              <w:rPr>
                <w:rFonts w:ascii="Arial" w:cs="Arial" w:eastAsia="Arial" w:hAnsi="Arial"/>
                <w:b/>
                <w:bCs/>
                <w:color w:val="333333"/>
                <w:sz w:val="20"/>
                <w:szCs w:val="20"/>
              </w:rPr>
              <w:t xml:space="preserve">Fidelización</w:t>
            </w:r>
          </w:p>
        </w:tc>
        <w:tc>
          <w:tcPr>
            <w:tcW w:type="dxa" w:w="363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Ninguna: el usuario busca el logo y ya</w:t>
            </w:r>
          </w:p>
        </w:tc>
        <w:tc>
          <w:tcPr>
            <w:tcW w:type="dxa" w:w="363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Monedero electrónico con cashback cruzado, gamificación, puntos, rallies</w:t>
            </w:r>
          </w:p>
        </w:tc>
      </w:tr>
      <w:tr>
        <w:tc>
          <w:tcPr>
            <w:tcW w:type="dxa" w:w="2100"/>
            <w:tcBorders>
              <w:top w:val="single" w:color="CCCCCC" w:sz="1"/>
              <w:left w:val="single" w:color="CCCCCC" w:sz="1"/>
              <w:bottom w:val="single" w:color="CCCCCC" w:sz="1"/>
              <w:right w:val="single" w:color="CCCCCC" w:sz="1"/>
            </w:tcBorders>
            <w:shd w:fill="E8F0FE" w:val="clear"/>
            <w:tcMar>
              <w:top w:type="dxa" w:w="80"/>
              <w:left w:type="dxa" w:w="120"/>
              <w:bottom w:type="dxa" w:w="80"/>
              <w:right w:type="dxa" w:w="120"/>
            </w:tcMar>
          </w:tcPr>
          <w:p>
            <w:r>
              <w:rPr>
                <w:rFonts w:ascii="Arial" w:cs="Arial" w:eastAsia="Arial" w:hAnsi="Arial"/>
                <w:b/>
                <w:bCs/>
                <w:color w:val="333333"/>
                <w:sz w:val="20"/>
                <w:szCs w:val="20"/>
              </w:rPr>
              <w:t xml:space="preserve">Revenue streams</w:t>
            </w:r>
          </w:p>
        </w:tc>
        <w:tc>
          <w:tcPr>
            <w:tcW w:type="dxa" w:w="363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1-2 fuentes: membresía + primas de seguros</w:t>
            </w:r>
          </w:p>
        </w:tc>
        <w:tc>
          <w:tcPr>
            <w:tcW w:type="dxa" w:w="363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6 mecanismos: Sponsor Stack, suscripción tiendas, comisión transacción, lead fees, membresías premium, producción MPIs</w:t>
            </w:r>
          </w:p>
        </w:tc>
      </w:tr>
      <w:tr>
        <w:tc>
          <w:tcPr>
            <w:tcW w:type="dxa" w:w="2100"/>
            <w:tcBorders>
              <w:top w:val="single" w:color="CCCCCC" w:sz="1"/>
              <w:left w:val="single" w:color="CCCCCC" w:sz="1"/>
              <w:bottom w:val="single" w:color="CCCCCC" w:sz="1"/>
              <w:right w:val="single" w:color="CCCCCC" w:sz="1"/>
            </w:tcBorders>
            <w:shd w:fill="E8F0FE" w:val="clear"/>
            <w:tcMar>
              <w:top w:type="dxa" w:w="80"/>
              <w:left w:type="dxa" w:w="120"/>
              <w:bottom w:type="dxa" w:w="80"/>
              <w:right w:type="dxa" w:w="120"/>
            </w:tcMar>
          </w:tcPr>
          <w:p>
            <w:r>
              <w:rPr>
                <w:rFonts w:ascii="Arial" w:cs="Arial" w:eastAsia="Arial" w:hAnsi="Arial"/>
                <w:b/>
                <w:bCs/>
                <w:color w:val="333333"/>
                <w:sz w:val="20"/>
                <w:szCs w:val="20"/>
              </w:rPr>
              <w:t xml:space="preserve">Escalabilidad</w:t>
            </w:r>
          </w:p>
        </w:tc>
        <w:tc>
          <w:tcPr>
            <w:tcW w:type="dxa" w:w="363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Lineal: más tarjetas = más revenue, sin efecto red</w:t>
            </w:r>
          </w:p>
        </w:tc>
        <w:tc>
          <w:tcPr>
            <w:tcW w:type="dxa" w:w="363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Efecto red: más miembros = más contenido = más proveedores = más valor para todos</w:t>
            </w:r>
          </w:p>
        </w:tc>
      </w:tr>
    </w:tbl>
    <w:p>
      <w:pPr>
        <w:spacing w:before="200"/>
      </w:pPr>
    </w:p>
    <w:p>
      <w:r>
        <w:br w:type="page"/>
      </w:r>
    </w:p>
    <w:p>
      <w:pPr>
        <w:pStyle w:val="Heading1"/>
      </w:pPr>
      <w:r>
        <w:t xml:space="preserve">6. Estrategia Competitiva: Ecosistema Transaccional de Beneficios de Próxima Generación</w:t>
      </w:r>
    </w:p>
    <w:p>
      <w:pPr>
        <w:pStyle w:val="Heading2"/>
      </w:pPr>
      <w:r>
        <w:t xml:space="preserve">6.1 La Tesis Central</w:t>
      </w:r>
    </w:p>
    <w:p>
      <w:pPr>
        <w:spacing w:after="200"/>
      </w:pPr>
      <w:r>
        <w:t xml:space="preserve">Con 100,000 miembros sindicalizados y 200 empresas proveedoras, no se compite contra TDU en volumen de descuentos. Se compite en una categoría superior: un </w:t>
      </w:r>
      <w:r>
        <w:rPr>
          <w:b/>
          <w:bCs/>
        </w:rPr>
        <w:t xml:space="preserve">Ecosistema Transaccional de Beneficios de Próxima Generación</w:t>
      </w:r>
      <w:r>
        <w:t xml:space="preserve"> donde cada parte obtiene más valor que con un simple descuento. En lugar de crear otra tarjeta pasiva, se construye una plataforma donde el gasto en descuentos del comercio se transforma en inversión de captura de clientes con ROI medible.</w:t>
      </w:r>
    </w:p>
    <w:p>
      <w:pPr>
        <w:pStyle w:val="Heading2"/>
      </w:pPr>
      <w:r>
        <w:t xml:space="preserve">6.2 Estrategia Lado A: Las 200 Empresas Proveedoras (El Mayor Diferenciador)</w:t>
      </w:r>
    </w:p>
    <w:p>
      <w:pPr>
        <w:spacing w:after="200"/>
      </w:pPr>
      <w:r>
        <w:t xml:space="preserve">La propuesta no es "dame un descuento y te anuncio en mi directorio", sino </w:t>
      </w:r>
      <w:r>
        <w:rPr>
          <w:b/>
          <w:bCs/>
          <w:i/>
          <w:iCs/>
        </w:rPr>
        <w:t xml:space="preserve">"te doy una plataforma tecnológica para incrementar tus ventas y optimizar tu negocio"</w:t>
      </w:r>
      <w:r>
        <w:t xml:space="preserve">:</w:t>
      </w:r>
    </w:p>
    <w:p>
      <w:pPr>
        <w:pStyle w:val="ListParagraph"/>
        <w:numPr>
          <w:ilvl w:val="0"/>
          <w:numId w:val="2"/>
        </w:numPr>
      </w:pPr>
      <w:r>
        <w:rPr>
          <w:b/>
          <w:bCs/>
        </w:rPr>
        <w:t xml:space="preserve">Marketplace Transaccional (Prepago y Reserva): </w:t>
      </w:r>
      <w:r>
        <w:t xml:space="preserve">En lugar de que el usuario muestre una tarjeta en caja, compra cupones digitales prepagados, boletos o reserva y paga el servicio directamente en el marketplace. Esto le garantiza al comercio dinero por adelantado y elimina fricciones operativas.</w:t>
      </w:r>
    </w:p>
    <w:p>
      <w:pPr>
        <w:pStyle w:val="ListParagraph"/>
        <w:numPr>
          <w:ilvl w:val="0"/>
          <w:numId w:val="2"/>
        </w:numPr>
      </w:pPr>
      <w:r>
        <w:rPr>
          <w:b/>
          <w:bCs/>
        </w:rPr>
        <w:t xml:space="preserve">Yield Management / Descuentos Dinámicos: </w:t>
      </w:r>
      <w:r>
        <w:t xml:space="preserve">Los 200 comercios controlan sus ofertas según afluencia. Un restaurante configura 35% de descuento los martes por la mañana (cuando tiene mesas vacías) y 0% los sábados noche (cuando está lleno). Esto protege márgenes y optimiza capacidad ociosa.</w:t>
      </w:r>
    </w:p>
    <w:p>
      <w:pPr>
        <w:pStyle w:val="ListParagraph"/>
        <w:numPr>
          <w:ilvl w:val="0"/>
          <w:numId w:val="2"/>
        </w:numPr>
      </w:pPr>
      <w:r>
        <w:rPr>
          <w:b/>
          <w:bCs/>
        </w:rPr>
        <w:t xml:space="preserve">CRM y Data Analytics: </w:t>
      </w:r>
      <w:r>
        <w:t xml:space="preserve">Panel donde ven quiénes compran sus servicios (edades, recurrencia, ticket promedio, tendencias de intención). Pueden crear campañas de fidelización directa dentro de la plataforma. Los comercios valoran la data tanto como el dinero.</w:t>
      </w:r>
    </w:p>
    <w:p>
      <w:pPr>
        <w:pStyle w:val="ListParagraph"/>
        <w:numPr>
          <w:ilvl w:val="0"/>
          <w:numId w:val="2"/>
        </w:numPr>
      </w:pPr>
      <w:r>
        <w:rPr>
          <w:b/>
          <w:bCs/>
        </w:rPr>
        <w:t xml:space="preserve">Leads Calificados (Lead AI Engine): </w:t>
      </w:r>
      <w:r>
        <w:t xml:space="preserve">El MPI ya hizo el diagnóstico del usuario; llega sabiendo qué necesita. Conversión estimada 3-5x más rápida que tráfico frío. Dashboard de analytics con reportes de intención para proveedores.</w:t>
      </w:r>
    </w:p>
    <w:p>
      <w:pPr>
        <w:pStyle w:val="ListParagraph"/>
        <w:numPr>
          <w:ilvl w:val="0"/>
          <w:numId w:val="2"/>
        </w:numPr>
        <w:spacing w:after="200"/>
      </w:pPr>
      <w:r>
        <w:rPr>
          <w:b/>
          <w:bCs/>
        </w:rPr>
        <w:t xml:space="preserve">MPIs de Marca Propia + 4 Niveles de Sponsorship: </w:t>
      </w:r>
      <w:r>
        <w:t xml:space="preserve">Proveedores pueden patrocinar MasterPlaybooks con su branding (ej: un banco patrocina el MPI de "Salud Financiera Personal") y elegir entre Fundador, Categoría, Contenido y Guías de Compra como niveles de visibilidad.</w:t>
      </w:r>
    </w:p>
    <w:p>
      <w:pPr>
        <w:pStyle w:val="Heading2"/>
      </w:pPr>
      <w:r>
        <w:t xml:space="preserve">6.3 Estrategia Lado B: Los 100,000 Miembros Sindicalizados</w:t>
      </w:r>
    </w:p>
    <w:p>
      <w:pPr>
        <w:pStyle w:val="ListParagraph"/>
        <w:numPr>
          <w:ilvl w:val="0"/>
          <w:numId w:val="3"/>
        </w:numPr>
      </w:pPr>
      <w:r>
        <w:rPr>
          <w:b/>
          <w:bCs/>
        </w:rPr>
        <w:t xml:space="preserve">Capa Base de Descuentos (Paridad con TDU): </w:t>
      </w:r>
      <w:r>
        <w:t xml:space="preserve">Integrar red de descuentos equivalente como commodity. Opción A: negociar con el propio TDU como proveedor de infraestructura. Opción B: alternativas como Bonda/CuponStar. Opción C: construir red propia con las 200 empresas.</w:t>
      </w:r>
    </w:p>
    <w:p>
      <w:pPr>
        <w:pStyle w:val="ListParagraph"/>
        <w:numPr>
          <w:ilvl w:val="0"/>
          <w:numId w:val="3"/>
        </w:numPr>
      </w:pPr>
      <w:r>
        <w:rPr>
          <w:b/>
          <w:bCs/>
        </w:rPr>
        <w:t xml:space="preserve">Cashback Cruzado (Monedero Electrónico): </w:t>
      </w:r>
      <w:r>
        <w:t xml:space="preserve">En lugar de descuento plano del 10%, el usuario paga precio preferencial y un porcentaje se acumula en monedero electrónico. El saldo solo se puede redimir dentro del ecosistema de los 200 comercios o para pagar servicios premium de la membresía. Esto crea un loop de retención poderoso.</w:t>
      </w:r>
    </w:p>
    <w:p>
      <w:pPr>
        <w:pStyle w:val="ListParagraph"/>
        <w:numPr>
          <w:ilvl w:val="0"/>
          <w:numId w:val="3"/>
        </w:numPr>
      </w:pPr>
      <w:r>
        <w:rPr>
          <w:b/>
          <w:bCs/>
        </w:rPr>
        <w:t xml:space="preserve">MasterPlaybooks Inteligentes: </w:t>
      </w:r>
      <w:r>
        <w:t xml:space="preserve">Herramientas personalizadas de salud financiera, bienestar, desarrollo profesional. Cada MPI genera un artefacto a la medida del usuario y captura datos de intención.</w:t>
      </w:r>
    </w:p>
    <w:p>
      <w:pPr>
        <w:pStyle w:val="ListParagraph"/>
        <w:numPr>
          <w:ilvl w:val="0"/>
          <w:numId w:val="3"/>
        </w:numPr>
      </w:pPr>
      <w:r>
        <w:rPr>
          <w:b/>
          <w:bCs/>
        </w:rPr>
        <w:t xml:space="preserve">SherpaIA Personal: </w:t>
      </w:r>
      <w:r>
        <w:t xml:space="preserve">Agente persistente que conoce el perfil del usuario, recomienda servicios, contenido, oportunidades. Evoluciona con cada interacción.</w:t>
      </w:r>
    </w:p>
    <w:p>
      <w:pPr>
        <w:pStyle w:val="ListParagraph"/>
        <w:numPr>
          <w:ilvl w:val="0"/>
          <w:numId w:val="3"/>
        </w:numPr>
      </w:pPr>
      <w:r>
        <w:rPr>
          <w:b/>
          <w:bCs/>
        </w:rPr>
        <w:t xml:space="preserve">Asistencias On-Demand y Micro-seguros: </w:t>
      </w:r>
      <w:r>
        <w:t xml:space="preserve">Aliarse con plataformas de telemedicina white-label e insurtechs para integrar videoconsultas ilimitadas y seguros básicos vía API. Emula la estructura protectora de Integra Salud pero con experiencia 100% digital y sin necesidad de construir red propia de 5,000 médicos.</w:t>
      </w:r>
    </w:p>
    <w:p>
      <w:pPr>
        <w:pStyle w:val="ListParagraph"/>
        <w:numPr>
          <w:ilvl w:val="0"/>
          <w:numId w:val="3"/>
        </w:numPr>
      </w:pPr>
      <w:r>
        <w:rPr>
          <w:b/>
          <w:bCs/>
        </w:rPr>
        <w:t xml:space="preserve">Comunidad Activa + Gamificación: </w:t>
      </w:r>
      <w:r>
        <w:t xml:space="preserve">Foros gremiales, eventos, networking, bolsa de empleo, campus virtual. Gamificación con puntos, rallies, reconocimientos. El sindicato se vuelve una tribu digital.</w:t>
      </w:r>
    </w:p>
    <w:p>
      <w:pPr>
        <w:spacing w:before="200"/>
      </w:pPr>
    </w:p>
    <w:p>
      <w:pPr>
        <w:pStyle w:val="Heading2"/>
      </w:pPr>
      <w:r>
        <w:t xml:space="preserve">6.4 Estrategia Lado C: Los Sindicatos (Canal de Distribución)</w:t>
      </w:r>
    </w:p>
    <w:p>
      <w:pPr>
        <w:pStyle w:val="ListParagraph"/>
        <w:numPr>
          <w:ilvl w:val="0"/>
          <w:numId w:val="4"/>
        </w:numPr>
      </w:pPr>
      <w:r>
        <w:rPr>
          <w:b/>
          <w:bCs/>
        </w:rPr>
        <w:t xml:space="preserve">Herramienta de retención de agremiados: </w:t>
      </w:r>
      <w:r>
        <w:t xml:space="preserve">No es solo una tarjeta, es una plataforma de desarrollo profesional + beneficios + comunidad.</w:t>
      </w:r>
    </w:p>
    <w:p>
      <w:pPr>
        <w:pStyle w:val="ListParagraph"/>
        <w:numPr>
          <w:ilvl w:val="0"/>
          <w:numId w:val="4"/>
        </w:numPr>
      </w:pPr>
      <w:r>
        <w:rPr>
          <w:b/>
          <w:bCs/>
        </w:rPr>
        <w:t xml:space="preserve">Brand builder: </w:t>
      </w:r>
      <w:r>
        <w:t xml:space="preserve">El marketplace lleva la marca del sindicato, fortalece su identidad y relevancia ante los agremiados.</w:t>
      </w:r>
    </w:p>
    <w:p>
      <w:pPr>
        <w:pStyle w:val="ListParagraph"/>
        <w:numPr>
          <w:ilvl w:val="0"/>
          <w:numId w:val="4"/>
        </w:numPr>
      </w:pPr>
      <w:r>
        <w:rPr>
          <w:b/>
          <w:bCs/>
        </w:rPr>
        <w:t xml:space="preserve">Revenue share: </w:t>
      </w:r>
      <w:r>
        <w:t xml:space="preserve">Participan de los ingresos del marketplace (sponsors, comisiones, lead fees). Transforma al sindicato de centro de costo a fuente de ingreso.</w:t>
      </w:r>
    </w:p>
    <w:p>
      <w:pPr>
        <w:pStyle w:val="ListParagraph"/>
        <w:numPr>
          <w:ilvl w:val="0"/>
          <w:numId w:val="4"/>
        </w:numPr>
      </w:pPr>
      <w:r>
        <w:rPr>
          <w:b/>
          <w:bCs/>
        </w:rPr>
        <w:t xml:space="preserve">Dashboard de engagement: </w:t>
      </w:r>
      <w:r>
        <w:t xml:space="preserve">Ven qué usan sus agremiados, qué necesitan, qué valoran. Decisiones de política sindical basadas en data real.</w:t>
      </w:r>
    </w:p>
    <w:p>
      <w:pPr>
        <w:pStyle w:val="ListParagraph"/>
        <w:numPr>
          <w:ilvl w:val="0"/>
          <w:numId w:val="4"/>
        </w:numPr>
        <w:spacing w:after="200"/>
      </w:pPr>
      <w:r>
        <w:rPr>
          <w:b/>
          <w:bCs/>
        </w:rPr>
        <w:t xml:space="preserve">Diferenciador competitivo: </w:t>
      </w:r>
      <w:r>
        <w:t xml:space="preserve">Pasan de ofrecer descuentos genéricos (que cualquier sindicato puede contratar con TDU) a un ecosistema exclusivo imposible de replicar con una tarjeta estática.</w:t>
      </w:r>
    </w:p>
    <w:p>
      <w:pPr>
        <w:pStyle w:val="Heading2"/>
      </w:pPr>
      <w:r>
        <w:t xml:space="preserve">6.5 Posicionamiento B2B: Super-App de Beneficios Flexibles</w:t>
      </w:r>
    </w:p>
    <w:p>
      <w:pPr>
        <w:spacing w:after="200"/>
      </w:pPr>
      <w:r>
        <w:t xml:space="preserve">Una vez dominada la transaccionalidad con los primeros 100K usuarios y 200 comercios, el producto se posiciona como una </w:t>
      </w:r>
      <w:r>
        <w:rPr>
          <w:b/>
          <w:bCs/>
        </w:rPr>
        <w:t xml:space="preserve">Plataforma de Beneficios Flexibles Transaccional</w:t>
      </w:r>
      <w:r>
        <w:t xml:space="preserve"> para el mercado corporativo de RRHH: las empresas pueden depositar saldos de previsión social (bonos, ayudas de transporte/alimentación) para que los empleados los gasten directamente dentro del marketplace. TDU les vende una app estática de cupones; nosotros les vendemos un ecosistema donde el dinero que la empresa destina a beneficios genera </w:t>
      </w:r>
      <w:r>
        <w:rPr>
          <w:b/>
          <w:bCs/>
        </w:rPr>
        <w:t xml:space="preserve">valor medible, data accionable, y retención de talento demostrable</w:t>
      </w:r>
      <w:r>
        <w:t xml:space="preserve">.</w:t>
      </w:r>
    </w:p>
    <w:p>
      <w:r>
        <w:br w:type="page"/>
      </w:r>
    </w:p>
    <w:p>
      <w:pPr>
        <w:pStyle w:val="Heading1"/>
      </w:pPr>
      <w:r>
        <w:t xml:space="preserve">7. Modelo Económico Estimado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200"/>
        <w:gridCol w:w="2200"/>
        <w:gridCol w:w="2160"/>
      </w:tblGrid>
      <w:tr>
        <w:tc>
          <w:tcPr>
            <w:tcW w:type="dxa" w:w="280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tcPr>
          <w:p>
            <w:r>
              <w:rPr>
                <w:rFonts w:ascii="Arial" w:cs="Arial" w:eastAsia="Arial" w:hAnsi="Arial"/>
                <w:b/>
                <w:bCs/>
                <w:color w:val="FFFFFF"/>
                <w:sz w:val="20"/>
                <w:szCs w:val="20"/>
              </w:rPr>
              <w:t xml:space="preserve">Fuente de Revenue</w:t>
            </w:r>
          </w:p>
        </w:tc>
        <w:tc>
          <w:tcPr>
            <w:tcW w:type="dxa" w:w="220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tcPr>
          <w:p>
            <w:r>
              <w:rPr>
                <w:rFonts w:ascii="Arial" w:cs="Arial" w:eastAsia="Arial" w:hAnsi="Arial"/>
                <w:b/>
                <w:bCs/>
                <w:color w:val="FFFFFF"/>
                <w:sz w:val="20"/>
                <w:szCs w:val="20"/>
              </w:rPr>
              <w:t xml:space="preserve">Conservador</w:t>
            </w:r>
          </w:p>
        </w:tc>
        <w:tc>
          <w:tcPr>
            <w:tcW w:type="dxa" w:w="220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tcPr>
          <w:p>
            <w:r>
              <w:rPr>
                <w:rFonts w:ascii="Arial" w:cs="Arial" w:eastAsia="Arial" w:hAnsi="Arial"/>
                <w:b/>
                <w:bCs/>
                <w:color w:val="FFFFFF"/>
                <w:sz w:val="20"/>
                <w:szCs w:val="20"/>
              </w:rPr>
              <w:t xml:space="preserve">Medio</w:t>
            </w:r>
          </w:p>
        </w:tc>
        <w:tc>
          <w:tcPr>
            <w:tcW w:type="dxa" w:w="2160"/>
            <w:tcBorders>
              <w:top w:val="single" w:color="CCCCCC" w:sz="1"/>
              <w:left w:val="single" w:color="CCCCCC" w:sz="1"/>
              <w:bottom w:val="single" w:color="CCCCCC" w:sz="1"/>
              <w:right w:val="single" w:color="CCCCCC" w:sz="1"/>
            </w:tcBorders>
            <w:shd w:fill="1B3A5C" w:val="clear"/>
            <w:tcMar>
              <w:top w:type="dxa" w:w="80"/>
              <w:left w:type="dxa" w:w="120"/>
              <w:bottom w:type="dxa" w:w="80"/>
              <w:right w:type="dxa" w:w="120"/>
            </w:tcMar>
          </w:tcPr>
          <w:p>
            <w:r>
              <w:rPr>
                <w:rFonts w:ascii="Arial" w:cs="Arial" w:eastAsia="Arial" w:hAnsi="Arial"/>
                <w:b/>
                <w:bCs/>
                <w:color w:val="FFFFFF"/>
                <w:sz w:val="20"/>
                <w:szCs w:val="20"/>
              </w:rPr>
              <w:t xml:space="preserve">Agresivo</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Membresías miembros (100K x $20-40/mes)</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$24M MXN/año</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$36M MXN/año</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$48M MXN/año</w:t>
            </w:r>
          </w:p>
        </w:tc>
      </w:tr>
      <w:tr>
        <w:tc>
          <w:tcPr>
            <w:tcW w:type="dxa" w:w="28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Suscripción proveedores (200 x $3K-10K/mes)</w:t>
            </w:r>
          </w:p>
        </w:tc>
        <w:tc>
          <w:tcPr>
            <w:tcW w:type="dxa" w:w="22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$7.2M MXN/año</w:t>
            </w:r>
          </w:p>
        </w:tc>
        <w:tc>
          <w:tcPr>
            <w:tcW w:type="dxa" w:w="22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$14.4M MXN/año</w:t>
            </w:r>
          </w:p>
        </w:tc>
        <w:tc>
          <w:tcPr>
            <w:tcW w:type="dxa" w:w="216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$24M MXN/año</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Comisiones transacciones marketplace</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$3.6M MXN/año</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$7.2M MXN/año</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$14.4M MXN/año</w:t>
            </w:r>
          </w:p>
        </w:tc>
      </w:tr>
      <w:tr>
        <w:tc>
          <w:tcPr>
            <w:tcW w:type="dxa" w:w="28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Lead fees (prospectos calificados)</w:t>
            </w:r>
          </w:p>
        </w:tc>
        <w:tc>
          <w:tcPr>
            <w:tcW w:type="dxa" w:w="22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$2.4M MXN/año</w:t>
            </w:r>
          </w:p>
        </w:tc>
        <w:tc>
          <w:tcPr>
            <w:tcW w:type="dxa" w:w="22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$6M MXN/año</w:t>
            </w:r>
          </w:p>
        </w:tc>
        <w:tc>
          <w:tcPr>
            <w:tcW w:type="dxa" w:w="216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$12M MXN/año</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Sponsor Stack (10-20 sponsors)</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$3M MXN/año</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$6M MXN/año</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color w:val="333333"/>
                <w:sz w:val="20"/>
                <w:szCs w:val="20"/>
              </w:rPr>
              <w:t xml:space="preserve">$12M MXN/año</w:t>
            </w:r>
          </w:p>
        </w:tc>
      </w:tr>
      <w:tr>
        <w:tc>
          <w:tcPr>
            <w:tcW w:type="dxa" w:w="28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Producción MPIs de marca + contenido</w:t>
            </w:r>
          </w:p>
        </w:tc>
        <w:tc>
          <w:tcPr>
            <w:tcW w:type="dxa" w:w="22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$1.2M MXN/año</w:t>
            </w:r>
          </w:p>
        </w:tc>
        <w:tc>
          <w:tcPr>
            <w:tcW w:type="dxa" w:w="22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$3M MXN/año</w:t>
            </w:r>
          </w:p>
        </w:tc>
        <w:tc>
          <w:tcPr>
            <w:tcW w:type="dxa" w:w="216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333333"/>
                <w:sz w:val="20"/>
                <w:szCs w:val="20"/>
              </w:rPr>
              <w:t xml:space="preserve">$6M MXN/año</w:t>
            </w:r>
          </w:p>
        </w:tc>
      </w:tr>
      <w:tr>
        <w:tc>
          <w:tcPr>
            <w:tcW w:type="dxa" w:w="2800"/>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tcPr>
          <w:p>
            <w:r>
              <w:rPr>
                <w:rFonts w:ascii="Arial" w:cs="Arial" w:eastAsia="Arial" w:hAnsi="Arial"/>
                <w:b/>
                <w:bCs/>
                <w:color w:val="333333"/>
                <w:sz w:val="20"/>
                <w:szCs w:val="20"/>
              </w:rPr>
              <w:t xml:space="preserve">TOTAL ESTIMADO</w:t>
            </w:r>
          </w:p>
        </w:tc>
        <w:tc>
          <w:tcPr>
            <w:tcW w:type="dxa" w:w="2200"/>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tcPr>
          <w:p>
            <w:r>
              <w:rPr>
                <w:rFonts w:ascii="Arial" w:cs="Arial" w:eastAsia="Arial" w:hAnsi="Arial"/>
                <w:b/>
                <w:bCs/>
                <w:color w:val="333333"/>
                <w:sz w:val="20"/>
                <w:szCs w:val="20"/>
              </w:rPr>
              <w:t xml:space="preserve">$41.4M MXN (~USD 2.1M)</w:t>
            </w:r>
          </w:p>
        </w:tc>
        <w:tc>
          <w:tcPr>
            <w:tcW w:type="dxa" w:w="2200"/>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tcPr>
          <w:p>
            <w:r>
              <w:rPr>
                <w:rFonts w:ascii="Arial" w:cs="Arial" w:eastAsia="Arial" w:hAnsi="Arial"/>
                <w:b/>
                <w:bCs/>
                <w:color w:val="333333"/>
                <w:sz w:val="20"/>
                <w:szCs w:val="20"/>
              </w:rPr>
              <w:t xml:space="preserve">$72.6M MXN (~USD 3.6M)</w:t>
            </w:r>
          </w:p>
        </w:tc>
        <w:tc>
          <w:tcPr>
            <w:tcW w:type="dxa" w:w="2160"/>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tcPr>
          <w:p>
            <w:r>
              <w:rPr>
                <w:rFonts w:ascii="Arial" w:cs="Arial" w:eastAsia="Arial" w:hAnsi="Arial"/>
                <w:b/>
                <w:bCs/>
                <w:color w:val="333333"/>
                <w:sz w:val="20"/>
                <w:szCs w:val="20"/>
              </w:rPr>
              <w:t xml:space="preserve">$116.4M MXN (~USD 5.8M)</w:t>
            </w:r>
          </w:p>
        </w:tc>
      </w:tr>
    </w:tbl>
    <w:p>
      <w:pPr>
        <w:spacing w:after="200" w:before="200"/>
      </w:pPr>
      <w:r>
        <w:rPr>
          <w:b/>
          <w:bCs/>
          <w:i/>
          <w:iCs/>
        </w:rPr>
        <w:t xml:space="preserve">Nota: </w:t>
      </w:r>
      <w:r>
        <w:rPr>
          <w:i/>
          <w:iCs/>
        </w:rPr>
        <w:t xml:space="preserve">Integra Salud con 480K afiliados genera revenue estimado de $100-200M MXN/año en membresías + primas. Con 100K miembros pero 6 fuentes de revenue + transaccionalidad, este modelo puede igualar o superar ese número con una quinta parte de la base de usuarios.</w:t>
      </w:r>
    </w:p>
    <w:p>
      <w:pPr>
        <w:pStyle w:val="Heading1"/>
      </w:pPr>
      <w:r>
        <w:t xml:space="preserve">8. Hoja de Ruta Sugerida (12 Meses)</w:t>
      </w:r>
    </w:p>
    <w:p>
      <w:pPr>
        <w:pStyle w:val="ListParagraph"/>
        <w:numPr>
          <w:ilvl w:val="0"/>
          <w:numId w:val="5"/>
        </w:numPr>
        <w:spacing w:after="120"/>
      </w:pPr>
      <w:r>
        <w:rPr>
          <w:b/>
          <w:bCs/>
        </w:rPr>
        <w:t xml:space="preserve">Fase 0 — Validación (Mes 1-2): </w:t>
      </w:r>
      <w:r>
        <w:t xml:space="preserve">Definir vertical(es) prioritarios con sindicatos. Identificar 3-5 categorías de servicios más demandadas. Mapear 200 empresas target. Validar disposición a pagar. Definir alianzas de telemedicina/insurtechs para capa de asistencias.</w:t>
      </w:r>
    </w:p>
    <w:p>
      <w:pPr>
        <w:pStyle w:val="ListParagraph"/>
        <w:numPr>
          <w:ilvl w:val="0"/>
          <w:numId w:val="5"/>
        </w:numPr>
        <w:spacing w:after="120"/>
      </w:pPr>
      <w:r>
        <w:rPr>
          <w:b/>
          <w:bCs/>
        </w:rPr>
        <w:t xml:space="preserve">Fase 1 — Media + Comunidad (Mes 2-4): </w:t>
      </w:r>
      <w:r>
        <w:t xml:space="preserve">Lanzar capa de contenido (newsletter, MPIs de salud financiera/bienestar). Activar foros gremiales. Construir audiencia con contenido gratuito (modelo NerdWallet). Primeros SherpaIAs con perfil básico.</w:t>
      </w:r>
    </w:p>
    <w:p>
      <w:pPr>
        <w:pStyle w:val="ListParagraph"/>
        <w:numPr>
          <w:ilvl w:val="0"/>
          <w:numId w:val="5"/>
        </w:numPr>
        <w:spacing w:after="120"/>
      </w:pPr>
      <w:r>
        <w:rPr>
          <w:b/>
          <w:bCs/>
        </w:rPr>
        <w:t xml:space="preserve">Fase 2 — Marketplace Transaccional (Mes 4-6): </w:t>
      </w:r>
      <w:r>
        <w:t xml:space="preserve">Onboarding primeros 50 proveedores con tienda transaccional (prepago/reserva). Activar capa de descuentos básicos como paridad TDU. Lanzar monedero electrónico con cashback cruzado. Integrar asistencias médicas on-demand vía API.</w:t>
      </w:r>
    </w:p>
    <w:p>
      <w:pPr>
        <w:pStyle w:val="ListParagraph"/>
        <w:numPr>
          <w:ilvl w:val="0"/>
          <w:numId w:val="5"/>
        </w:numPr>
        <w:spacing w:after="120"/>
      </w:pPr>
      <w:r>
        <w:rPr>
          <w:b/>
          <w:bCs/>
        </w:rPr>
        <w:t xml:space="preserve">Fase 3 — Inteligencia + Yield Management (Mes 6-9): </w:t>
      </w:r>
      <w:r>
        <w:t xml:space="preserve">Activar Lead AI Engine. Primeros MPIs de marca para sponsors. Dashboard de analytics y CRM para proveedores. Yield management: descuentos dinámicos por hora/día. Primeros lead fees cobrados.</w:t>
      </w:r>
    </w:p>
    <w:p>
      <w:pPr>
        <w:pStyle w:val="ListParagraph"/>
        <w:numPr>
          <w:ilvl w:val="0"/>
          <w:numId w:val="5"/>
        </w:numPr>
        <w:spacing w:after="200"/>
      </w:pPr>
      <w:r>
        <w:rPr>
          <w:b/>
          <w:bCs/>
        </w:rPr>
        <w:t xml:space="preserve">Fase 4 — Escala + Beneficios Flexibles (Mes 9-12): </w:t>
      </w:r>
      <w:r>
        <w:t xml:space="preserve">Expandir a 200 proveedores. Activar campus virtual y gamificación. Revenue share con sindicatos. Posicionar como Super-App de Beneficios Flexibles para mercado corporativo RRHH. Replicar a segundo sindicato.</w:t>
      </w:r>
    </w:p>
    <w:p>
      <w:r>
        <w:br w:type="page"/>
      </w:r>
    </w:p>
    <w:p>
      <w:pPr>
        <w:pStyle w:val="Heading1"/>
      </w:pPr>
      <w:r>
        <w:t xml:space="preserve">9. Conclusiones y Recomendaciones Clave</w:t>
      </w:r>
    </w:p>
    <w:p>
      <w:pPr>
        <w:spacing w:after="200"/>
      </w:pPr>
      <w:r>
        <w:t xml:space="preserve">TDU e Integra Salud manejan buen volumen (480K afiliados, 10K comercios, 25+ años), pero su tecnología es un </w:t>
      </w:r>
      <w:r>
        <w:rPr>
          <w:b/>
          <w:bCs/>
        </w:rPr>
        <w:t xml:space="preserve">contenedor de información estática</w:t>
      </w:r>
      <w:r>
        <w:t xml:space="preserve">. Al introducir transaccionalidad, analítica para comercios, descuentos dinámicos, cashback cruzado y comunidades inteligentes, se transforma un gasto publicitario (el descuento) en una inversión de captura de clientes altamente eficiente.</w:t>
      </w:r>
    </w:p>
    <w:p>
      <w:pPr>
        <w:spacing w:after="200"/>
      </w:pPr>
      <w:r>
        <w:rPr>
          <w:b/>
          <w:bCs/>
        </w:rPr>
        <w:t xml:space="preserve">Tu ventaja es de arquitectura, no de escala.</w:t>
      </w:r>
      <w:r>
        <w:t xml:space="preserve"> No necesitas 10,000 comercios. Necesitas 200 que reciban leads 3-5x más calificados, con CRM, analytics, yield management, y dinero por adelantado. Menos tráfico, mejor tráfico. Menos descuento, más valor.</w:t>
      </w:r>
    </w:p>
    <w:p>
      <w:pPr>
        <w:spacing w:after="120"/>
      </w:pPr>
      <w:r>
        <w:rPr>
          <w:b/>
          <w:bCs/>
          <w:color w:val="1B3A5C"/>
        </w:rPr>
        <w:t xml:space="preserve">Las 5 recomendaciones críticas:</w:t>
      </w:r>
    </w:p>
    <w:p>
      <w:pPr>
        <w:pStyle w:val="ListParagraph"/>
        <w:numPr>
          <w:ilvl w:val="0"/>
          <w:numId w:val="5"/>
        </w:numPr>
      </w:pPr>
      <w:r>
        <w:rPr>
          <w:b/>
          <w:bCs/>
        </w:rPr>
        <w:t xml:space="preserve">No repliques la red de 10K comercios de TDU. </w:t>
      </w:r>
      <w:r>
        <w:t xml:space="preserve">Integra descuentos como commodity (usando al propio TDU, Bonda o CuponStar como proveedor de infraestructura) y diferencia con las capas superiores de transaccionalidad, inteligencia y comunidad.</w:t>
      </w:r>
    </w:p>
    <w:p>
      <w:pPr>
        <w:pStyle w:val="ListParagraph"/>
        <w:numPr>
          <w:ilvl w:val="0"/>
          <w:numId w:val="5"/>
        </w:numPr>
      </w:pPr>
      <w:r>
        <w:rPr>
          <w:b/>
          <w:bCs/>
        </w:rPr>
        <w:t xml:space="preserve">El seguro y la telemedicina son ganchos emocionales, no el core. </w:t>
      </w:r>
      <w:r>
        <w:t xml:space="preserve">Intégralos vía alianzas con insurtechs y plataformas white-label. Emula la estructura protectora de Integra Salud sin construir red médica propia.</w:t>
      </w:r>
    </w:p>
    <w:p>
      <w:pPr>
        <w:pStyle w:val="ListParagraph"/>
        <w:numPr>
          <w:ilvl w:val="0"/>
          <w:numId w:val="5"/>
        </w:numPr>
      </w:pPr>
      <w:r>
        <w:rPr>
          <w:b/>
          <w:bCs/>
        </w:rPr>
        <w:t xml:space="preserve">Vende resultados, no descuentos. </w:t>
      </w:r>
      <w:r>
        <w:t xml:space="preserve">A proveedores: leads calificados + CRM + analytics con costo de adquisición predecible. A sindicatos: retención medible + revenue share. A miembros: herramientas que resuelven problemas reales + cashback.</w:t>
      </w:r>
    </w:p>
    <w:p>
      <w:pPr>
        <w:pStyle w:val="ListParagraph"/>
        <w:numPr>
          <w:ilvl w:val="0"/>
          <w:numId w:val="5"/>
        </w:numPr>
      </w:pPr>
      <w:r>
        <w:rPr>
          <w:b/>
          <w:bCs/>
        </w:rPr>
        <w:t xml:space="preserve">El monedero electrónico es el arma de retención. </w:t>
      </w:r>
      <w:r>
        <w:t xml:space="preserve">El cashback cruzado crea un loop donde el saldo solo se gasta dentro del ecosistema. Esto resuelve el problema de las tarjetas dormidas que TDU no puede resolver.</w:t>
      </w:r>
    </w:p>
    <w:p>
      <w:pPr>
        <w:pStyle w:val="ListParagraph"/>
        <w:numPr>
          <w:ilvl w:val="0"/>
          <w:numId w:val="5"/>
        </w:numPr>
        <w:spacing w:after="200"/>
      </w:pPr>
      <w:r>
        <w:rPr>
          <w:b/>
          <w:bCs/>
        </w:rPr>
        <w:t xml:space="preserve">Lanza rápido con contenido + comunidad (costo casi cero). </w:t>
      </w:r>
      <w:r>
        <w:t xml:space="preserve">La Fase 1 construye audiencia y captura datos de intención antes de vender nada a los proveedores. Eso te da poder de negociación: llegas con data real de qué quieren 100K personas, no con una promesa.</w:t>
      </w:r>
    </w:p>
    <w:p>
      <w:pPr>
        <w:pBdr>
          <w:top w:val="single" w:color="2E75B6" w:sz="2" w:space="8"/>
        </w:pBdr>
        <w:spacing w:after="200" w:before="400"/>
      </w:pPr>
      <w:r>
        <w:rPr>
          <w:b/>
          <w:bCs/>
          <w:color w:val="666666"/>
          <w:sz w:val="20"/>
          <w:szCs w:val="20"/>
        </w:rPr>
        <w:t xml:space="preserve">Fuentes de la investigación:</w:t>
      </w:r>
    </w:p>
    <w:p>
      <w:pPr>
        <w:spacing w:after="80"/>
      </w:pPr>
      <w:hyperlink w:history="1" r:id="rIdcdvtrn1mjcvmoicwlfziy">
        <w:r>
          <w:rPr>
            <w:rStyle w:val="Hyperlink"/>
            <w:sz w:val="18"/>
            <w:szCs w:val="18"/>
          </w:rPr>
          <w:t xml:space="preserve">Integra Salud — Membresías</w:t>
        </w:r>
      </w:hyperlink>
    </w:p>
    <w:p>
      <w:pPr>
        <w:spacing w:after="80"/>
      </w:pPr>
      <w:hyperlink w:history="1" r:id="rIdjkwbdvqzvf4hbeom3psnh">
        <w:r>
          <w:rPr>
            <w:rStyle w:val="Hyperlink"/>
            <w:sz w:val="18"/>
            <w:szCs w:val="18"/>
          </w:rPr>
          <w:t xml:space="preserve">TDU — Qué es TDU</w:t>
        </w:r>
      </w:hyperlink>
    </w:p>
    <w:p>
      <w:pPr>
        <w:spacing w:after="80"/>
      </w:pPr>
      <w:hyperlink w:history="1" r:id="rIdoyffmsun1flgv7jzarjsx">
        <w:r>
          <w:rPr>
            <w:rStyle w:val="Hyperlink"/>
            <w:sz w:val="18"/>
            <w:szCs w:val="18"/>
          </w:rPr>
          <w:t xml:space="preserve">TDU — Capital People</w:t>
        </w:r>
      </w:hyperlink>
    </w:p>
    <w:p>
      <w:pPr>
        <w:spacing w:after="80"/>
      </w:pPr>
      <w:hyperlink w:history="1" r:id="rIdvlhqbblyzrac-1eyqidfm">
        <w:r>
          <w:rPr>
            <w:rStyle w:val="Hyperlink"/>
            <w:sz w:val="18"/>
            <w:szCs w:val="18"/>
          </w:rPr>
          <w:t xml:space="preserve">Runa HR — Tarjeta de Descuento TDU ($15/emp/mes)</w:t>
        </w:r>
      </w:hyperlink>
    </w:p>
    <w:p>
      <w:pPr>
        <w:spacing w:after="80"/>
      </w:pPr>
      <w:hyperlink w:history="1" r:id="rIdp0na-co8q7fa_i2chghdq">
        <w:r>
          <w:rPr>
            <w:rStyle w:val="Hyperlink"/>
            <w:sz w:val="18"/>
            <w:szCs w:val="18"/>
          </w:rPr>
          <w:t xml:space="preserve">TuDecide — Tarjetas TDU (tipos y costos)</w:t>
        </w:r>
      </w:hyperlink>
    </w:p>
    <w:p>
      <w:pPr>
        <w:spacing w:after="80"/>
      </w:pPr>
      <w:hyperlink w:history="1" r:id="rIdxlz3vffomnr06cd7rdncj">
        <w:r>
          <w:rPr>
            <w:rStyle w:val="Hyperlink"/>
            <w:sz w:val="18"/>
            <w:szCs w:val="18"/>
          </w:rPr>
          <w:t xml:space="preserve">Colegio de Contadores Públicos de Guadalajara — TDU</w:t>
        </w:r>
      </w:hyperlink>
    </w:p>
    <w:p>
      <w:pPr>
        <w:spacing w:after="80"/>
      </w:pPr>
      <w:r>
        <w:rPr>
          <w:color w:val="666666"/>
          <w:sz w:val="18"/>
          <w:szCs w:val="18"/>
        </w:rPr>
        <w:t xml:space="preserve">PDF Presentación Membresías Integra Salud 2025 SP (proporcionado por Victor)</w:t>
      </w:r>
    </w:p>
    <w:p>
      <w:pPr>
        <w:spacing w:after="80"/>
      </w:pPr>
      <w:r>
        <w:rPr>
          <w:color w:val="666666"/>
          <w:sz w:val="18"/>
          <w:szCs w:val="18"/>
        </w:rPr>
        <w:t xml:space="preserve">Vault Reinventaverse: TribusRRHH, Rebelocity Club, Intelifin, MasterPlaybooks (documentación interna EmpowerLabs)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Página </w:t>
    </w:r>
    <w:r>
      <w:rPr>
        <w:rFonts w:ascii="Arial" w:cs="Arial" w:eastAsia="Arial" w:hAnsi="Arial"/>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1" w:space="4"/>
      </w:pBdr>
      <w:tabs>
        <w:tab w:val="right" w:pos="9026"/>
      </w:tabs>
    </w:pPr>
    <w:r>
      <w:rPr>
        <w:rFonts w:ascii="Arial" w:cs="Arial" w:eastAsia="Arial" w:hAnsi="Arial"/>
        <w:color w:val="999999"/>
        <w:sz w:val="16"/>
        <w:szCs w:val="16"/>
      </w:rPr>
      <w:t xml:space="preserve">Análisis Competitivo: Integra Salud / TDU v2.0</w:t>
    </w:r>
    <w:r>
      <w:rPr>
        <w:rFonts w:ascii="Arial" w:cs="Arial" w:eastAsia="Arial" w:hAnsi="Arial"/>
        <w:color w:val="999999"/>
        <w:sz w:val="16"/>
        <w:szCs w:val="16"/>
      </w:rPr>
      <w:t xml:space="preserve">	EmpowerLabs / MasterPlaybooks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B3A5C"/>
      <w:sz w:val="36"/>
      <w:szCs w:val="36"/>
    </w:rPr>
  </w:style>
  <w:style w:type="paragraph" w:styleId="Heading2">
    <w:name w:val="Heading 2"/>
    <w:basedOn w:val="Normal"/>
    <w:next w:val="Normal"/>
    <w:qFormat/>
    <w:pPr>
      <w:spacing w:after="160" w:before="240"/>
      <w:outlineLvl w:val="1"/>
    </w:pPr>
    <w:rPr>
      <w:rFonts w:ascii="Arial" w:cs="Arial" w:eastAsia="Arial" w:hAnsi="Arial"/>
      <w:b/>
      <w:bCs/>
      <w:color w:val="2E75B6"/>
      <w:sz w:val="28"/>
      <w:szCs w:val="28"/>
    </w:rPr>
  </w:style>
  <w:style w:type="paragraph" w:styleId="Heading3">
    <w:name w:val="Heading 3"/>
    <w:basedOn w:val="Normal"/>
    <w:next w:val="Normal"/>
    <w:qFormat/>
    <w:pPr>
      <w:spacing w:after="120" w:before="200"/>
      <w:outlineLvl w:val="2"/>
    </w:pPr>
    <w:rPr>
      <w:rFonts w:ascii="Arial" w:cs="Arial" w:eastAsia="Arial" w:hAnsi="Arial"/>
      <w:b/>
      <w:bCs/>
      <w:color w:val="4040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cdvtrn1mjcvmoicwlfziy" Type="http://schemas.openxmlformats.org/officeDocument/2006/relationships/hyperlink" Target="https://www.integra-salud.mx/services/membership-integra-salud" TargetMode="External"/><Relationship Id="rIdjkwbdvqzvf4hbeom3psnh" Type="http://schemas.openxmlformats.org/officeDocument/2006/relationships/hyperlink" Target="https://www.tdu.com.mx/queestdu" TargetMode="External"/><Relationship Id="rIdoyffmsun1flgv7jzarjsx" Type="http://schemas.openxmlformats.org/officeDocument/2006/relationships/hyperlink" Target="https://www.tdu.com.mx/capitalpeople/funciona.html" TargetMode="External"/><Relationship Id="rIdvlhqbblyzrac-1eyqidfm" Type="http://schemas.openxmlformats.org/officeDocument/2006/relationships/hyperlink" Target="https://runahr.com/mx/tarjeta-de-descuentos-runa-tdu/" TargetMode="External"/><Relationship Id="rIdp0na-co8q7fa_i2chghdq" Type="http://schemas.openxmlformats.org/officeDocument/2006/relationships/hyperlink" Target="https://www.tudecide.com/beneficios-tarjetas-de-descuento-tdu" TargetMode="External"/><Relationship Id="rIdxlz3vffomnr06cd7rdncj" Type="http://schemas.openxmlformats.org/officeDocument/2006/relationships/hyperlink" Target="https://ccpg.org.mx/2025/07/23/tarjeta-tdu-descuentos/" TargetMode="Externa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2026-05-19T05:21:04.002Z</dcterms:created>
  <dcterms:modified xsi:type="dcterms:W3CDTF">2026-05-19T05:21:04.002Z</dcterms:modified>
</cp:coreProperties>
</file>

<file path=docProps/custom.xml><?xml version="1.0" encoding="utf-8"?>
<Properties xmlns="http://schemas.openxmlformats.org/officeDocument/2006/custom-properties" xmlns:vt="http://schemas.openxmlformats.org/officeDocument/2006/docPropsVTypes"/>
</file>