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200"/>
        <w:jc w:val="center"/>
      </w:pPr>
      <w:r>
        <w:rPr>
          <w:b/>
          <w:bCs/>
          <w:color w:val="2C5A8C"/>
          <w:sz w:val="24"/>
          <w:szCs w:val="24"/>
        </w:rPr>
        <w:t xml:space="preserve">EmpowerLabs · WorX</w:t>
      </w:r>
    </w:p>
    <w:p>
      <w:pPr>
        <w:spacing w:after="60"/>
        <w:jc w:val="center"/>
      </w:pPr>
      <w:r>
        <w:rPr>
          <w:b/>
          <w:bCs/>
          <w:color w:val="1F3864"/>
          <w:sz w:val="48"/>
          <w:szCs w:val="48"/>
        </w:rPr>
        <w:t xml:space="preserve">Documento Descriptivo de Cotización</w:t>
      </w:r>
    </w:p>
    <w:p>
      <w:pPr>
        <w:spacing w:after="40"/>
        <w:jc w:val="center"/>
      </w:pPr>
      <w:r>
        <w:rPr>
          <w:sz w:val="24"/>
          <w:szCs w:val="24"/>
        </w:rPr>
        <w:t xml:space="preserve">Instalación de una Organización Hiperinteligente — alcance, beneficios y rubros</w:t>
      </w:r>
    </w:p>
    <w:p>
      <w:pPr>
        <w:spacing w:after="300"/>
        <w:jc w:val="center"/>
      </w:pPr>
      <w:r>
        <w:rPr>
          <w:i/>
          <w:iCs/>
          <w:color w:val="7D79A0"/>
          <w:sz w:val="18"/>
          <w:szCs w:val="18"/>
        </w:rPr>
        <w:t xml:space="preserve">Descripción de cada rubro · sin importes (el precio se entrega en cierre/presentación separada)</w:t>
      </w:r>
    </w:p>
    <w:p>
      <w:pPr>
        <w:jc w:val="center"/>
      </w:pPr>
      <w:r>
        <w:rPr>
          <w:color w:val="7D79A0"/>
          <w:sz w:val="16"/>
          <w:szCs w:val="16"/>
        </w:rPr>
        <w:t xml:space="preserve">Confidencial · uso interno EmpowerLabs · v01 · 2026</w:t>
      </w:r>
    </w:p>
    <w:p>
      <w:r>
        <w:br w:type="page"/>
      </w:r>
    </w:p>
    <w:p>
      <w:pPr>
        <w:spacing w:after="120"/>
      </w:pPr>
      <w:r>
        <w:rPr>
          <w:b/>
          <w:bCs/>
          <w:color w:val="1F3864"/>
          <w:sz w:val="28"/>
          <w:szCs w:val="28"/>
        </w:rPr>
        <w:t xml:space="preserve">Contenido</w:t>
      </w:r>
    </w:p>
    <w:sdt>
      <w:sdtPr>
        <w:alias w:val="Contenido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1. Introducción — qué vendemos</w:t>
      </w:r>
    </w:p>
    <w:p>
      <w:pPr>
        <w:spacing w:after="120"/>
      </w:pPr>
      <w:r>
        <w:t xml:space="preserve">No vendemos software, licencias de plataforma standalone ni horas de consultoría. Vendemos la implementación de un sistema operativo organizacional — integrado por infraestructura, una metodología de trabajo y la adaptación de un paquete de herramientas, skills y agentes — que transforma a un equipo, y luego a un área y a la empresa, en una organización hiperinteligente: centrada en las personas y capaz de producir más valor a mayor velocidad.</w:t>
      </w:r>
    </w:p>
    <w:p>
      <w:pPr>
        <w:spacing w:after="100"/>
      </w:pPr>
      <w:r>
        <w:rPr>
          <w:b/>
          <w:bCs/>
          <w:color w:val="2C5A8C"/>
        </w:rPr>
        <w:t xml:space="preserve">Qué NO vendemos. </w:t>
      </w:r>
      <w:r>
        <w:t xml:space="preserve">Software suelto, licencias de plataforma standalone, horas de consultoría, implementación de herramientas o capacitación genérica.</w:t>
      </w:r>
    </w:p>
    <w:p>
      <w:pPr>
        <w:spacing w:after="100"/>
      </w:pPr>
      <w:r>
        <w:rPr>
          <w:b/>
          <w:bCs/>
          <w:color w:val="2C5A8C"/>
        </w:rPr>
        <w:t xml:space="preserve">La unidad de venta. </w:t>
      </w:r>
      <w:r>
        <w:t xml:space="preserve">Un equipo trabajando un proyecto vivo durante 60 días — que escala a área y a empresa. El producto clave y escalable es el Piloto WorX Lab.</w:t>
      </w:r>
    </w:p>
    <w:p>
      <w:pPr>
        <w:pStyle w:val="Heading1"/>
      </w:pPr>
      <w:r>
        <w:t xml:space="preserve">2. El viaje del cliente</w:t>
      </w:r>
    </w:p>
    <w:p>
      <w:pPr>
        <w:spacing w:after="120"/>
      </w:pPr>
      <w:r>
        <w:t xml:space="preserve">El cliente entra por puertas escalonadas; no se fuerza a todos por el mismo camino: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Audiencia — el libro de Organizaciones Hiperinteligentes y el contenido (webinars, posts, conferencias, papers) venden la categoría.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Org-IBX — la puerta de entrada accesible: un benchmark de inteligencia organizacional que despierta, califica y formaliza la decisión.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Piloto WorX Lab — el producto: instala el ecosistema con un equipo real (camino simple, default).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Vía de precisión opcional — EmpowerScan: diagnóstico profundo que fija una línea base de valor cuando el cliente quiere mayor precisión.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Big Upsell de largo plazo — una vez exitoso el piloto: escala a otras áreas, unidad de Innovación / Twin IA, y la capa recurrente de licencia y servicios.</w:t>
      </w:r>
    </w:p>
    <w:p>
      <w:pPr>
        <w:pStyle w:val="Heading1"/>
      </w:pPr>
      <w:r>
        <w:t xml:space="preserve">3. Modalidades del Piloto</w:t>
      </w:r>
    </w:p>
    <w:p>
      <w:pPr>
        <w:spacing w:after="100"/>
      </w:pPr>
      <w:r>
        <w:rPr>
          <w:b/>
          <w:bCs/>
          <w:color w:val="2C5A8C"/>
        </w:rPr>
        <w:t xml:space="preserve">Privada. </w:t>
      </w:r>
      <w:r>
        <w:t xml:space="preserve">Una empresa, alta cercanía (high-touch). Ideal cuando el cliente quiere foco exclusivo y confidencialidad total.</w:t>
      </w:r>
    </w:p>
    <w:p>
      <w:pPr>
        <w:spacing w:after="100"/>
      </w:pPr>
      <w:r>
        <w:rPr>
          <w:b/>
          <w:bCs/>
          <w:color w:val="2C5A8C"/>
        </w:rPr>
        <w:t xml:space="preserve">Cohorte. </w:t>
      </w:r>
      <w:r>
        <w:t xml:space="preserve">Varias empresas o equipos en paralelo con presencia embebida. Es la palanca de escalabilidad: multiplica el alcance sin multiplicar el equipo de EmpowerLabs.</w:t>
      </w:r>
    </w:p>
    <w:p>
      <w:pPr>
        <w:pStyle w:val="Heading1"/>
      </w:pPr>
      <w:r>
        <w:t xml:space="preserve">4. Etapa 1 — Piloto WorX Lab (instalación)</w:t>
      </w:r>
    </w:p>
    <w:p>
      <w:pPr>
        <w:spacing w:after="120"/>
      </w:pPr>
      <w:r>
        <w:t xml:space="preserve">Programa de 60 días: una semana de preparación, 40 días efectivos de trabajo con el equipo y una semana de amarre y destilación de resultados. Al cierre, tres entregables simultáneos: proyectos reales avanzados o resueltos, equipo capacitado operando en par cognitivo, y ecosistema instalado y funcionando.</w:t>
      </w:r>
    </w:p>
    <w:p>
      <w:pPr>
        <w:pStyle w:val="Heading2"/>
      </w:pPr>
      <w:r>
        <w:t xml:space="preserve">4.1 Los cinco bloques del Piloto</w:t>
      </w:r>
    </w:p>
    <w:p>
      <w:pPr>
        <w:spacing w:after="100"/>
      </w:pPr>
      <w:r>
        <w:rPr>
          <w:b/>
          <w:bCs/>
          <w:color w:val="2C5A8C"/>
        </w:rPr>
        <w:t xml:space="preserve">A · Infraestructura. </w:t>
      </w:r>
      <w:r>
        <w:t xml:space="preserve">Instalación y configuración de servidor (AWS del cliente cuando aplica), IntelliBanks, Corp-Brain-OS y un SherpaX con Brain OS para cada participante.</w:t>
      </w:r>
    </w:p>
    <w:p>
      <w:pPr>
        <w:spacing w:after="100"/>
      </w:pPr>
      <w:r>
        <w:rPr>
          <w:b/>
          <w:bCs/>
          <w:color w:val="2C5A8C"/>
        </w:rPr>
        <w:t xml:space="preserve">B · Sistema Operativo WorX OS. </w:t>
      </w:r>
      <w:r>
        <w:t xml:space="preserve">Instalación y configuración de sus capas: gobernanza por rol, harness de orquestación humano-agente, naming/BMF, XDoc, seguridad y LoopX.</w:t>
      </w:r>
    </w:p>
    <w:p>
      <w:pPr>
        <w:spacing w:after="100"/>
      </w:pPr>
      <w:r>
        <w:rPr>
          <w:b/>
          <w:bCs/>
          <w:color w:val="2C5A8C"/>
        </w:rPr>
        <w:t xml:space="preserve">C · Paquete de aplicaciones. </w:t>
      </w:r>
      <w:r>
        <w:t xml:space="preserve">WikiX, Skills, Sherpas Especializados, dashboards de arranque (Torre de Control) y XDocs·LoopX.</w:t>
      </w:r>
    </w:p>
    <w:p>
      <w:pPr>
        <w:spacing w:after="100"/>
      </w:pPr>
      <w:r>
        <w:rPr>
          <w:b/>
          <w:bCs/>
          <w:color w:val="2C5A8C"/>
        </w:rPr>
        <w:t xml:space="preserve">D · Metodología de trabajo WorX. </w:t>
      </w:r>
      <w:r>
        <w:t xml:space="preserve">Las 5 Capacidades, EmpowerTeamsX (proyectos con inteligencia distribuida) y SherpaTeamsX (bloques de agentes).</w:t>
      </w:r>
    </w:p>
    <w:p>
      <w:pPr>
        <w:spacing w:after="100"/>
      </w:pPr>
      <w:r>
        <w:rPr>
          <w:b/>
          <w:bCs/>
          <w:color w:val="2C5A8C"/>
        </w:rPr>
        <w:t xml:space="preserve">E · Diseño y ejecución. </w:t>
      </w:r>
      <w:r>
        <w:t xml:space="preserve">Sesión de definición, definición de proyectos, proceso de inducción, acompañamiento de proyectos y amarre/destilación.</w:t>
      </w:r>
    </w:p>
    <w:p>
      <w:pPr>
        <w:pStyle w:val="Heading2"/>
      </w:pPr>
      <w:r>
        <w:t xml:space="preserve">4.2 Rubros de la Etapa 1</w:t>
      </w:r>
    </w:p>
    <w:p>
      <w:pPr>
        <w:pStyle w:val="Heading3"/>
      </w:pPr>
      <w:r>
        <w:t xml:space="preserve">Piloto WorX Lab — base (incluye 7 participantes)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El corazón de la intervención: el programa de 60 días que instala la base de una organización hiperinteligente con un equipo real trabajando proyectos reales. La base cubre hasta 7 participantes.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Los cinco bloques (A–E), la sesión de definición, el acompañamiento durante los 40 días y el amarre final, con los tres entregables simultáneos.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Instala el sistema operativo, capacita al equipo y avanza proyectos reales al mismo tiempo; deja la organización lista para escalar al resto del área y la empresa.</w:t>
      </w:r>
    </w:p>
    <w:p>
      <w:pPr>
        <w:pStyle w:val="Heading3"/>
      </w:pPr>
      <w:r>
        <w:t xml:space="preserve">Participantes adicionales del Lab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Cada participante por encima de los 7 incluidos en la base.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Configuración de su SherpaX, onboarding y acompañamiento dentro del lab.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Extiende la transformación a más personas del equipo sin re-arrancar el lab, con un costo marginal claro.</w:t>
      </w:r>
    </w:p>
    <w:p>
      <w:pPr>
        <w:pStyle w:val="Heading3"/>
      </w:pPr>
      <w:r>
        <w:t xml:space="preserve">Org-IBX completo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Benchmark de inteligencia organizacional relativo a la industria: compara el nivel actual contra el Referente Ideal (líder best-in-class del sector) y expresa la brecha en órdenes de X (1X / 10X / 100X).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Diagnóstico de readiness, comparación competitiva y lectura ejecutiva del riesgo y la oportunidad.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Despierta al ejecutivo, califica a escala y formaliza la decisión de arrancar el Lab; le da al consejo un lenguaje claro de competitividad.</w:t>
      </w:r>
    </w:p>
    <w:p>
      <w:pPr>
        <w:pStyle w:val="Heading3"/>
      </w:pPr>
      <w:r>
        <w:t xml:space="preserve">EmpowerScan (vía de precisión)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Diagnóstico profundo del funcionamiento real del área: descubre disfunciones no conocidas o no cuantificadas y proyectos atorados, y fija la línea base de valor.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Mapa de funciones, impuesto de coordinación, costos ocultos, brecha y roadmap de intervención; base de medición para el modelo basado en resultados.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Permite diseñar el piloto con mayor precisión y hace creíble un fee de éxito. Es opcional: no es requisito para avanzar al Lab.</w:t>
      </w:r>
    </w:p>
    <w:p>
      <w:pPr>
        <w:pStyle w:val="Heading3"/>
      </w:pPr>
      <w:r>
        <w:t xml:space="preserve">Diseño Humano (análisis + libro)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Servicio adicional por participante: un análisis de diseño humano más un libro personalizado, en todos los casos.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Análisis individual y entrega del libro/informe a cada persona.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Acelera el emparejamiento entre la persona y su SherpaX, personaliza el acompañamiento y eleva la adopción y el sentido de pertenencia.</w:t>
      </w:r>
    </w:p>
    <w:p>
      <w:pPr>
        <w:pStyle w:val="Heading3"/>
      </w:pPr>
      <w:r>
        <w:t xml:space="preserve">SherpaX — setup adicionales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Alta y configuración de SherpaX para usuarios nuevos más allá de los del piloto.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Provisión, memoria inicial, gobernanza por rol y onboarding del nuevo usuario.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Incorpora nuevas personas al ecosistema de forma ordenada y consistente.</w:t>
      </w:r>
    </w:p>
    <w:p>
      <w:pPr>
        <w:pStyle w:val="Heading3"/>
      </w:pPr>
      <w:r>
        <w:t xml:space="preserve">MasterPlaybooks — setup / configuración de la librería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Implementación y configuración de la librería interna de MasterPlaybooks, la capa de playbooks inteligentes para la fuerza laboral.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Estructura de la librería, carga inicial y conexión con el ecosistema.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Deja lista la capa que convierte el conocimiento operativo en activos ejecutables y escalables.</w:t>
      </w:r>
    </w:p>
    <w:p>
      <w:pPr>
        <w:pStyle w:val="Heading1"/>
      </w:pPr>
      <w:r>
        <w:t xml:space="preserve">5. Etapa 2 — Licencia y servicios (recurrente anual)</w:t>
      </w:r>
    </w:p>
    <w:p>
      <w:pPr>
        <w:spacing w:after="120"/>
      </w:pPr>
      <w:r>
        <w:t xml:space="preserve">Una vez instalado el ecosistema, esta capa lo mantiene vivo y en operación. Es contrato anual, con pago anual, semestral o mensual. Son las dos suscripciones que sostienen la relación de largo plazo.</w:t>
      </w:r>
    </w:p>
    <w:p>
      <w:pPr>
        <w:pStyle w:val="Heading3"/>
      </w:pPr>
      <w:r>
        <w:t xml:space="preserve">2A · Licencia de Infraestructura (Licencia + Hosting + Mantenimiento + Actualizaciones + Soporte)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Licencia y paquete de servicios de la capa de infraestructura: IntelliBanks y Corp-Brain-OS, con hosting, mantenimiento, actualizaciones y soporte.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Operación continua de la infraestructura. El hosting tiene el mismo costo, corra en infraestructura de EmpowerLabs o del cliente.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Mantiene viva la memoria organizacional y la plataforma; es el ancla de continuidad del ecosistema.</w:t>
      </w:r>
    </w:p>
    <w:p>
      <w:pPr>
        <w:pStyle w:val="Heading3"/>
      </w:pPr>
      <w:r>
        <w:t xml:space="preserve">SherpaX — licencias (por asiento)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Licencia anual de cada SherpaX activo. Todos los SherpaX van con licencia.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Uso continuo del compañero cognitivo, con memoria persistente y actualizaciones.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Es el motor de productividad de cada persona; el ingreso crece con la adopción dentro de la organización.</w:t>
      </w:r>
    </w:p>
    <w:p>
      <w:pPr>
        <w:pStyle w:val="Heading3"/>
      </w:pPr>
      <w:r>
        <w:t xml:space="preserve">2B · Licencia WorX OS (Capa C Aplicaciones + Capa D Metodología)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Licencia del sistema operativo organizacional. Incluye el paquete de aplicaciones (WikiX, Skills, Sherpas Especializados, dashboards, XDocs·LoopX y MetaFactorías) y la metodología WorX, con actualizaciones del OS y del método.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Operación del OS y del método, más los upgrades periódicos.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Sostiene la inteligencia colectiva y la forma de trabajar que diferencia a la organización, manteniéndola al día.</w:t>
      </w:r>
    </w:p>
    <w:p>
      <w:pPr>
        <w:pStyle w:val="Heading3"/>
      </w:pPr>
      <w:r>
        <w:t xml:space="preserve">Soporte Premium (uplift de SLA)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Nivel de soporte superior al Standard incluido, con mayor cadencia y prioridad.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Acuerdo de nivel de servicio (SLA) reforzado y acompañamiento más frecuente.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Para áreas críticas que requieren respuesta y acompañamiento mayores.</w:t>
      </w:r>
    </w:p>
    <w:p>
      <w:pPr>
        <w:pStyle w:val="Heading3"/>
      </w:pPr>
      <w:r>
        <w:t xml:space="preserve">MasterPlaybooks (recurrente — mínimo / escala win-win)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Operación recurrente de la capa MasterPlaybooks, con un mínimo garantizado y escalado por consumo o por asiento según el tipo de empresa y el número de usuarios.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Uso continuo y actualización de la librería de playbooks.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Convierte el conocimiento en una capa viva para la fuerza laboral, con un modelo win-win que protege la economía y alinea con el uso.</w:t>
      </w:r>
    </w:p>
    <w:p>
      <w:pPr>
        <w:pStyle w:val="Heading3"/>
      </w:pPr>
      <w:r>
        <w:t xml:space="preserve">Re-certificación SO-HiORG anual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Renovación anual del sello de organización hiperinteligente.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Auditoría y validación anual del ecosistema instalado.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Mantiene el estándar y la credibilidad, y jala mejora continua.</w:t>
      </w:r>
    </w:p>
    <w:p>
      <w:pPr>
        <w:pStyle w:val="Heading1"/>
      </w:pPr>
      <w:r>
        <w:t xml:space="preserve">6. Opcionales — engagements y proyectos</w:t>
      </w:r>
    </w:p>
    <w:p>
      <w:pPr>
        <w:spacing w:after="120"/>
      </w:pPr>
      <w:r>
        <w:t xml:space="preserve">Servicios que se contratan por separado, según la ambición de escala del cliente.</w:t>
      </w:r>
    </w:p>
    <w:p>
      <w:pPr>
        <w:pStyle w:val="Heading3"/>
      </w:pPr>
      <w:r>
        <w:t xml:space="preserve">WorX Labs adicionales (réplica)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Réplica del piloto a otras áreas, con descuento sobre el lab original.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Un nuevo equipo, nuevos proyectos, el mismo método y ecosistema ya instalado.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Escala la transformación área por área aprovechando la curva de aprendizaje y el ecosistema existente.</w:t>
      </w:r>
    </w:p>
    <w:p>
      <w:pPr>
        <w:pStyle w:val="Heading3"/>
      </w:pPr>
      <w:r>
        <w:t xml:space="preserve">Train de Trainers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Formación de facilitadores internos certificados del cliente.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Certificación, tutoría del primer lab interno y acceso a la comunidad de facilitadores.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Crea capacidad interna autónoma para escalar sin saturar a EmpowerLabs — la vía de escala de gran alcance.</w:t>
      </w:r>
    </w:p>
    <w:p>
      <w:pPr>
        <w:pStyle w:val="Heading3"/>
      </w:pPr>
      <w:r>
        <w:t xml:space="preserve">Bloque de horas (soporte / asesoría / acompañamiento)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Bolsa de horas para soporte, asesoría o acompañamiento de proyectos, o bien por macroproyecto.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Flexible según la necesidad puntual.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Da flexibilidad para necesidades específicas sin contratar un engagement completo.</w:t>
      </w:r>
    </w:p>
    <w:p>
      <w:pPr>
        <w:pStyle w:val="Heading3"/>
      </w:pPr>
      <w:r>
        <w:t xml:space="preserve">Twin IA Lab (por magnitud)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Unidad de innovación que construye un gemelo IA de la organización para migrar a un modelo IA-nativo o híbrido en un entorno seguro. Proyecto independiente, cotizado por la magnitud del proyecto.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Diseño y operación del gemelo, experimentación segura y plan de migración progresiva.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La transformación profunda de bajo riesgo: el gran salto hacia una organización IA-nativa.</w:t>
      </w:r>
    </w:p>
    <w:p>
      <w:pPr>
        <w:pStyle w:val="Heading1"/>
      </w:pPr>
      <w:r>
        <w:t xml:space="preserve">7. Certificación SO-HiORG</w:t>
      </w:r>
    </w:p>
    <w:p>
      <w:pPr>
        <w:spacing w:after="100"/>
      </w:pPr>
      <w:r>
        <w:rPr>
          <w:b/>
          <w:bCs/>
          <w:color w:val="2C5A8C"/>
        </w:rPr>
        <w:t xml:space="preserve">Descripción. </w:t>
      </w:r>
      <w:r>
        <w:t xml:space="preserve">El sello del destino hiperinteligente. Es opcional y se tramita como un proceso separado: una certificación inicial y, después, una re-certificación anual.</w:t>
      </w:r>
    </w:p>
    <w:p>
      <w:pPr>
        <w:spacing w:after="100"/>
      </w:pPr>
      <w:r>
        <w:rPr>
          <w:b/>
          <w:bCs/>
          <w:color w:val="2C5A8C"/>
        </w:rPr>
        <w:t xml:space="preserve">Alcance. </w:t>
      </w:r>
      <w:r>
        <w:t xml:space="preserve">Auditoría del ecosistema, plan de cierre de brechas y otorgamiento del sello; renovación anual.</w:t>
      </w:r>
    </w:p>
    <w:p>
      <w:pPr>
        <w:spacing w:after="100"/>
      </w:pPr>
      <w:r>
        <w:rPr>
          <w:b/>
          <w:bCs/>
          <w:color w:val="2C5A8C"/>
        </w:rPr>
        <w:t xml:space="preserve">Beneficio e importancia. </w:t>
      </w:r>
      <w:r>
        <w:t xml:space="preserve">Reconoce el estándar alcanzado, funciona como activo reputacional y de gobernanza, y es el resultado al que llevan el Twin IA Lab y el Train de Trainers.</w:t>
      </w:r>
    </w:p>
    <w:p>
      <w:pPr>
        <w:pStyle w:val="Heading1"/>
      </w:pPr>
      <w:r>
        <w:t xml:space="preserve">8. Modelo comercial</w:t>
      </w:r>
    </w:p>
    <w:p>
      <w:pPr>
        <w:spacing w:after="100"/>
      </w:pPr>
      <w:r>
        <w:rPr>
          <w:b/>
          <w:bCs/>
          <w:color w:val="2C5A8C"/>
        </w:rPr>
        <w:t xml:space="preserve">Base + Éxito. </w:t>
      </w:r>
      <w:r>
        <w:t xml:space="preserve">Una base de instalación fija que cubre la entrega (nunca por debajo del costo) — es la inversión por la intervención y siempre se paga — más, cuando el cliente lo elige por la vía de precisión, un fee de éxito sobre el valor validado. El éxito es un premio: nunca sustituye la inversión.</w:t>
      </w:r>
    </w:p>
    <w:p>
      <w:pPr>
        <w:spacing w:after="100"/>
      </w:pPr>
      <w:r>
        <w:rPr>
          <w:b/>
          <w:bCs/>
          <w:color w:val="2C5A8C"/>
        </w:rPr>
        <w:t xml:space="preserve">Modalidades de pago. </w:t>
      </w:r>
      <w:r>
        <w:t xml:space="preserve">El paquete recurrente es contrato anual, con pago anual, semestral o mensual.</w:t>
      </w:r>
    </w:p>
    <w:p>
      <w:pPr>
        <w:spacing w:after="100"/>
      </w:pPr>
      <w:r>
        <w:rPr>
          <w:b/>
          <w:bCs/>
          <w:color w:val="2C5A8C"/>
        </w:rPr>
        <w:t xml:space="preserve">Descuento. </w:t>
      </w:r>
      <w:r>
        <w:t xml:space="preserve">Cuando aplica, el descuento se calcula sobre la suma total; el cliente siempre conserva la mayoría del valor.</w:t>
      </w:r>
    </w:p>
    <w:p>
      <w:pPr>
        <w:spacing w:after="100"/>
      </w:pPr>
      <w:r>
        <w:rPr>
          <w:b/>
          <w:bCs/>
          <w:color w:val="2C5A8C"/>
        </w:rPr>
        <w:t xml:space="preserve">Por tamaño y geografía. </w:t>
      </w:r>
      <w:r>
        <w:t xml:space="preserve">El mismo modelo se ajusta por tamaño de empresa (pequeña, mediana, grande) y por geografía (México/LATAM, USA, Europa); cambian la magnitud de la base, la divisa y la palanca narrativa, no la estructura.</w:t>
      </w:r>
    </w:p>
    <w:p>
      <w:pPr>
        <w:pStyle w:val="Heading1"/>
      </w:pPr>
      <w:r>
        <w:t xml:space="preserve">9. Notas y condiciones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Licenciamiento de modelos de lenguaje (tokens de Anthropic/OpenAI): es independiente y corre a cargo del cliente; no lo factura EmpowerLabs.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Soberanía de datos: la memoria y el conocimiento de la organización viven en su propia infraestructura; el cómputo se realiza vía API externa.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Hosting: tiene el mismo costo, corra en infraestructura de EmpowerLabs o del cliente.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Confidencialidad: este documento es de uso interno; los importes se entregan en cierre o presentación separada, nunca dentro del documento que sale al cliente.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Twin IA Lab: se cotiza por la magnitud del proyecto.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C5A8C" w:sz="4" w:space="6"/>
      </w:pBdr>
    </w:pPr>
    <w:r>
      <w:rPr>
        <w:color w:val="7D79A0"/>
        <w:sz w:val="16"/>
        <w:szCs w:val="16"/>
      </w:rPr>
      <w:t xml:space="preserve">EmpowerLabs · WorX — Documento descriptivo de cotización · Confidencial · uso interno     Página </w:t>
    </w:r>
    <w:r>
      <w:rPr>
        <w:color w:val="7D79A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00"/>
      <w:outlineLvl w:val="0"/>
    </w:pPr>
    <w:rPr>
      <w:rFonts w:ascii="Arial" w:cs="Arial" w:eastAsia="Arial" w:hAnsi="Arial"/>
      <w:b/>
      <w:bCs/>
      <w:color w:val="1F3864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color w:val="2C5A8C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Arial" w:cs="Arial" w:eastAsia="Arial" w:hAnsi="Arial"/>
      <w:b/>
      <w:bCs/>
      <w:color w:val="1d1b35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2026-06-24T14:36:49.504Z</dcterms:created>
  <dcterms:modified xsi:type="dcterms:W3CDTF">2026-06-24T14:36:49.505Z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